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44" w:rsidRPr="00C03EA7" w:rsidRDefault="005B2644" w:rsidP="00C03EA7">
      <w:pPr>
        <w:pStyle w:val="Title"/>
        <w:rPr>
          <w:sz w:val="22"/>
          <w:szCs w:val="22"/>
        </w:rPr>
      </w:pPr>
      <w:bookmarkStart w:id="0" w:name="_GoBack"/>
      <w:bookmarkEnd w:id="0"/>
    </w:p>
    <w:p w:rsidR="00984B54" w:rsidRPr="00C25A28" w:rsidRDefault="00FA42FD" w:rsidP="00C03EA7">
      <w:pPr>
        <w:pStyle w:val="Title"/>
        <w:rPr>
          <w:sz w:val="24"/>
          <w:szCs w:val="24"/>
        </w:rPr>
      </w:pPr>
      <w:r w:rsidRPr="00C25A28">
        <w:rPr>
          <w:sz w:val="24"/>
          <w:szCs w:val="24"/>
        </w:rPr>
        <w:t xml:space="preserve">Developing an </w:t>
      </w:r>
      <w:r w:rsidR="00B6617D" w:rsidRPr="00C25A28">
        <w:rPr>
          <w:sz w:val="24"/>
          <w:szCs w:val="24"/>
        </w:rPr>
        <w:t>u</w:t>
      </w:r>
      <w:r w:rsidRPr="00C25A28">
        <w:rPr>
          <w:sz w:val="24"/>
          <w:szCs w:val="24"/>
        </w:rPr>
        <w:t xml:space="preserve">nderstanding of </w:t>
      </w:r>
      <w:r w:rsidR="00B6617D" w:rsidRPr="00C25A28">
        <w:rPr>
          <w:sz w:val="24"/>
          <w:szCs w:val="24"/>
        </w:rPr>
        <w:t>w</w:t>
      </w:r>
      <w:r w:rsidRPr="00C25A28">
        <w:rPr>
          <w:sz w:val="24"/>
          <w:szCs w:val="24"/>
        </w:rPr>
        <w:t xml:space="preserve">hy </w:t>
      </w:r>
      <w:r w:rsidR="00B6617D" w:rsidRPr="00C25A28">
        <w:rPr>
          <w:sz w:val="24"/>
          <w:szCs w:val="24"/>
        </w:rPr>
        <w:t>s</w:t>
      </w:r>
      <w:r w:rsidRPr="00C25A28">
        <w:rPr>
          <w:sz w:val="24"/>
          <w:szCs w:val="24"/>
        </w:rPr>
        <w:t xml:space="preserve">tudents </w:t>
      </w:r>
      <w:r w:rsidR="00B6617D" w:rsidRPr="00C25A28">
        <w:rPr>
          <w:sz w:val="24"/>
          <w:szCs w:val="24"/>
        </w:rPr>
        <w:t>d</w:t>
      </w:r>
      <w:r w:rsidRPr="00C25A28">
        <w:rPr>
          <w:sz w:val="24"/>
          <w:szCs w:val="24"/>
        </w:rPr>
        <w:t xml:space="preserve">o not </w:t>
      </w:r>
      <w:r w:rsidR="00B6617D" w:rsidRPr="00C25A28">
        <w:rPr>
          <w:sz w:val="24"/>
          <w:szCs w:val="24"/>
        </w:rPr>
        <w:t>e</w:t>
      </w:r>
      <w:r w:rsidRPr="00C25A28">
        <w:rPr>
          <w:sz w:val="24"/>
          <w:szCs w:val="24"/>
        </w:rPr>
        <w:t>ngage</w:t>
      </w:r>
    </w:p>
    <w:p w:rsidR="001A1CD6" w:rsidRPr="00C25A28" w:rsidRDefault="00FA42FD" w:rsidP="00C03EA7">
      <w:pPr>
        <w:spacing w:line="240" w:lineRule="auto"/>
        <w:rPr>
          <w:sz w:val="22"/>
          <w:szCs w:val="22"/>
        </w:rPr>
      </w:pPr>
      <w:r w:rsidRPr="00C25A28">
        <w:rPr>
          <w:sz w:val="22"/>
          <w:szCs w:val="22"/>
        </w:rPr>
        <w:t xml:space="preserve">Buckinghamshire (Bucks) New University is a modern university, </w:t>
      </w:r>
      <w:r w:rsidR="0036427B" w:rsidRPr="00C25A28">
        <w:t xml:space="preserve">which was awarded full </w:t>
      </w:r>
      <w:r w:rsidR="0086370C" w:rsidRPr="00C25A28">
        <w:t>u</w:t>
      </w:r>
      <w:r w:rsidR="0036427B" w:rsidRPr="00C25A28">
        <w:t>niversity status in 2007. F</w:t>
      </w:r>
      <w:r w:rsidRPr="00C25A28">
        <w:rPr>
          <w:sz w:val="22"/>
          <w:szCs w:val="22"/>
        </w:rPr>
        <w:t>ocused on creative and professional education</w:t>
      </w:r>
      <w:r w:rsidR="00784CEB" w:rsidRPr="00C25A28">
        <w:rPr>
          <w:sz w:val="22"/>
          <w:szCs w:val="22"/>
        </w:rPr>
        <w:t xml:space="preserve"> and with strong links with industry and local enterprise</w:t>
      </w:r>
      <w:r w:rsidR="0036427B" w:rsidRPr="00C25A28">
        <w:rPr>
          <w:sz w:val="22"/>
          <w:szCs w:val="22"/>
        </w:rPr>
        <w:t>,</w:t>
      </w:r>
      <w:r w:rsidRPr="00C25A28">
        <w:rPr>
          <w:sz w:val="22"/>
          <w:szCs w:val="22"/>
        </w:rPr>
        <w:t xml:space="preserve"> </w:t>
      </w:r>
      <w:r w:rsidR="0036427B" w:rsidRPr="00C25A28">
        <w:rPr>
          <w:sz w:val="22"/>
          <w:szCs w:val="22"/>
        </w:rPr>
        <w:t>w</w:t>
      </w:r>
      <w:r w:rsidRPr="00C25A28">
        <w:rPr>
          <w:sz w:val="22"/>
          <w:szCs w:val="22"/>
        </w:rPr>
        <w:t>e operate across four physical sites: High Wycombe</w:t>
      </w:r>
      <w:r w:rsidR="0036427B" w:rsidRPr="00C25A28">
        <w:rPr>
          <w:sz w:val="22"/>
          <w:szCs w:val="22"/>
        </w:rPr>
        <w:t xml:space="preserve"> (our main campus)</w:t>
      </w:r>
      <w:r w:rsidRPr="00C25A28">
        <w:rPr>
          <w:sz w:val="22"/>
          <w:szCs w:val="22"/>
        </w:rPr>
        <w:t>, Uxbridge, Aylesbury and Great Missenden</w:t>
      </w:r>
      <w:r w:rsidR="0036427B" w:rsidRPr="00C25A28">
        <w:rPr>
          <w:sz w:val="22"/>
          <w:szCs w:val="22"/>
        </w:rPr>
        <w:t>.</w:t>
      </w:r>
      <w:r w:rsidR="008A3F33" w:rsidRPr="00C25A28">
        <w:rPr>
          <w:sz w:val="22"/>
          <w:szCs w:val="22"/>
        </w:rPr>
        <w:t xml:space="preserve"> We are a strongly widening participation (WP) institution with nearly 60% of our students with one or more indicators of WP. </w:t>
      </w:r>
      <w:r w:rsidR="0036427B" w:rsidRPr="00C25A28">
        <w:rPr>
          <w:sz w:val="22"/>
          <w:szCs w:val="22"/>
        </w:rPr>
        <w:t>We</w:t>
      </w:r>
      <w:r w:rsidRPr="00C25A28">
        <w:rPr>
          <w:sz w:val="22"/>
          <w:szCs w:val="22"/>
        </w:rPr>
        <w:t xml:space="preserve"> offer </w:t>
      </w:r>
      <w:r w:rsidR="0036427B" w:rsidRPr="00C25A28">
        <w:rPr>
          <w:sz w:val="22"/>
          <w:szCs w:val="22"/>
        </w:rPr>
        <w:t xml:space="preserve">traditional full-time higher education at both undergraduate and postgraduate levels, but also have a considerable number of students engaged in part-time, </w:t>
      </w:r>
      <w:r w:rsidRPr="00C25A28">
        <w:rPr>
          <w:sz w:val="22"/>
          <w:szCs w:val="22"/>
        </w:rPr>
        <w:t>flexible</w:t>
      </w:r>
      <w:r w:rsidR="0036427B" w:rsidRPr="00C25A28">
        <w:rPr>
          <w:sz w:val="22"/>
          <w:szCs w:val="22"/>
        </w:rPr>
        <w:t xml:space="preserve"> and</w:t>
      </w:r>
      <w:r w:rsidRPr="00C25A28">
        <w:rPr>
          <w:sz w:val="22"/>
          <w:szCs w:val="22"/>
        </w:rPr>
        <w:t xml:space="preserve"> on-line learning</w:t>
      </w:r>
      <w:r w:rsidR="0036427B" w:rsidRPr="00C25A28">
        <w:rPr>
          <w:sz w:val="22"/>
          <w:szCs w:val="22"/>
        </w:rPr>
        <w:t xml:space="preserve">. </w:t>
      </w:r>
      <w:r w:rsidR="001B5B7D" w:rsidRPr="00C25A28">
        <w:rPr>
          <w:sz w:val="22"/>
          <w:szCs w:val="22"/>
        </w:rPr>
        <w:t xml:space="preserve">In 2015-16, we had 9651 students at the university and in UK-based partner institutions </w:t>
      </w:r>
      <w:r w:rsidR="001B5B7D" w:rsidRPr="00C25A28">
        <w:rPr>
          <w:sz w:val="22"/>
          <w:szCs w:val="22"/>
        </w:rPr>
        <w:fldChar w:fldCharType="begin" w:fldLock="1"/>
      </w:r>
      <w:r w:rsidR="001B5B7D" w:rsidRPr="00C25A28">
        <w:rPr>
          <w:sz w:val="22"/>
          <w:szCs w:val="22"/>
        </w:rPr>
        <w:instrText>ADDIN CSL_CITATION { "citationItems" : [ { "id" : "ITEM-1", "itemData" : { "URL" : "https://bucks.ac.uk/__data/assets/pdf_file/0017/15641/equalities-monitoring-student-data-report-15-16.pdf", "accessed" : { "date-parts" : [ [ "2017", "6", "6" ] ] }, "author" : [ { "dropping-particle" : "", "family" : "Bucks New University", "given" : "", "non-dropping-particle" : "", "parse-names" : false, "suffix" : "" } ], "id" : "ITEM-1", "issued" : { "date-parts" : [ [ "2016" ] ] }, "title" : "Bucks New University Equalities Statistics: Student HESA Data 2015/16", "type" : "webpage" }, "uris" : [ "http://www.mendeley.com/documents/?uuid=a94f4e37-370e-4537-95de-30e982601afd" ] } ], "mendeley" : { "formattedCitation" : "(Bucks New University, 2016)", "plainTextFormattedCitation" : "(Bucks New University, 2016)" }, "properties" : { "noteIndex" : 0 }, "schema" : "https://github.com/citation-style-language/schema/raw/master/csl-citation.json" }</w:instrText>
      </w:r>
      <w:r w:rsidR="001B5B7D" w:rsidRPr="00C25A28">
        <w:rPr>
          <w:sz w:val="22"/>
          <w:szCs w:val="22"/>
        </w:rPr>
        <w:fldChar w:fldCharType="separate"/>
      </w:r>
      <w:r w:rsidR="001B5B7D" w:rsidRPr="00C25A28">
        <w:rPr>
          <w:noProof/>
          <w:sz w:val="22"/>
          <w:szCs w:val="22"/>
        </w:rPr>
        <w:t>(Bucks New University, 2016)</w:t>
      </w:r>
      <w:r w:rsidR="001B5B7D" w:rsidRPr="00C25A28">
        <w:rPr>
          <w:sz w:val="22"/>
          <w:szCs w:val="22"/>
        </w:rPr>
        <w:fldChar w:fldCharType="end"/>
      </w:r>
      <w:r w:rsidR="001B5B7D" w:rsidRPr="00C25A28">
        <w:rPr>
          <w:sz w:val="22"/>
          <w:szCs w:val="22"/>
        </w:rPr>
        <w:t>. W</w:t>
      </w:r>
      <w:r w:rsidRPr="00C25A28">
        <w:rPr>
          <w:sz w:val="22"/>
          <w:szCs w:val="22"/>
        </w:rPr>
        <w:t>ork</w:t>
      </w:r>
      <w:r w:rsidR="001B5B7D" w:rsidRPr="00C25A28">
        <w:rPr>
          <w:sz w:val="22"/>
          <w:szCs w:val="22"/>
        </w:rPr>
        <w:t>ing</w:t>
      </w:r>
      <w:r w:rsidRPr="00C25A28">
        <w:rPr>
          <w:sz w:val="22"/>
          <w:szCs w:val="22"/>
        </w:rPr>
        <w:t xml:space="preserve"> with a network of partner colleges in the UK and internationally</w:t>
      </w:r>
      <w:r w:rsidR="001B5B7D" w:rsidRPr="00C25A28">
        <w:rPr>
          <w:sz w:val="22"/>
          <w:szCs w:val="22"/>
        </w:rPr>
        <w:t xml:space="preserve"> enables</w:t>
      </w:r>
      <w:r w:rsidRPr="00C25A28">
        <w:rPr>
          <w:sz w:val="22"/>
          <w:szCs w:val="22"/>
        </w:rPr>
        <w:t xml:space="preserve"> us to reach students from communities that would not normally access provision on our main sites. </w:t>
      </w:r>
    </w:p>
    <w:p w:rsidR="0036427B" w:rsidRPr="00C25A28" w:rsidRDefault="0036427B" w:rsidP="0036427B">
      <w:pPr>
        <w:pStyle w:val="Heading1"/>
        <w:spacing w:line="240" w:lineRule="auto"/>
      </w:pPr>
      <w:r w:rsidRPr="00C25A28">
        <w:t>Background to the project</w:t>
      </w:r>
    </w:p>
    <w:p w:rsidR="00741DA4" w:rsidRPr="00C25A28" w:rsidRDefault="00326E86" w:rsidP="00C03EA7">
      <w:pPr>
        <w:spacing w:line="240" w:lineRule="auto"/>
        <w:rPr>
          <w:sz w:val="22"/>
          <w:szCs w:val="22"/>
        </w:rPr>
      </w:pPr>
      <w:r w:rsidRPr="00C25A28">
        <w:rPr>
          <w:sz w:val="22"/>
          <w:szCs w:val="22"/>
        </w:rPr>
        <w:t xml:space="preserve">Bucks </w:t>
      </w:r>
      <w:r w:rsidR="0048674A" w:rsidRPr="00C25A28">
        <w:rPr>
          <w:sz w:val="22"/>
          <w:szCs w:val="22"/>
        </w:rPr>
        <w:t>N</w:t>
      </w:r>
      <w:r w:rsidRPr="00C25A28">
        <w:rPr>
          <w:sz w:val="22"/>
          <w:szCs w:val="22"/>
        </w:rPr>
        <w:t xml:space="preserve">ew University </w:t>
      </w:r>
      <w:r w:rsidR="00351BF7" w:rsidRPr="00C25A28">
        <w:rPr>
          <w:sz w:val="22"/>
          <w:szCs w:val="22"/>
        </w:rPr>
        <w:t>engaged w</w:t>
      </w:r>
      <w:r w:rsidR="001A363F" w:rsidRPr="00C25A28">
        <w:rPr>
          <w:sz w:val="22"/>
          <w:szCs w:val="22"/>
        </w:rPr>
        <w:t xml:space="preserve">ith </w:t>
      </w:r>
      <w:r w:rsidR="00351BF7" w:rsidRPr="00C25A28">
        <w:rPr>
          <w:sz w:val="22"/>
          <w:szCs w:val="22"/>
        </w:rPr>
        <w:t xml:space="preserve">the REACT </w:t>
      </w:r>
      <w:r w:rsidR="00C9438D" w:rsidRPr="00C25A28">
        <w:rPr>
          <w:sz w:val="22"/>
          <w:szCs w:val="22"/>
        </w:rPr>
        <w:t xml:space="preserve">project </w:t>
      </w:r>
      <w:r w:rsidR="00351BF7" w:rsidRPr="00C25A28">
        <w:rPr>
          <w:sz w:val="22"/>
          <w:szCs w:val="22"/>
        </w:rPr>
        <w:t xml:space="preserve">to address the historical precedent of apparent student disengagement, attendance and attrition. </w:t>
      </w:r>
      <w:r w:rsidR="00741DA4" w:rsidRPr="00C25A28">
        <w:rPr>
          <w:sz w:val="22"/>
          <w:szCs w:val="22"/>
        </w:rPr>
        <w:t xml:space="preserve">Our view was that our “hard to reach” students were by definition the ones more likely to not engage and withdraw. </w:t>
      </w:r>
      <w:r w:rsidR="00351BF7" w:rsidRPr="00C25A28">
        <w:rPr>
          <w:sz w:val="22"/>
          <w:szCs w:val="22"/>
        </w:rPr>
        <w:t xml:space="preserve">We wanted to investigate the impact of curricular and co-curricular activities on </w:t>
      </w:r>
      <w:r w:rsidR="00741DA4" w:rsidRPr="00C25A28">
        <w:rPr>
          <w:sz w:val="22"/>
          <w:szCs w:val="22"/>
        </w:rPr>
        <w:t xml:space="preserve">the </w:t>
      </w:r>
      <w:r w:rsidR="00351BF7" w:rsidRPr="00C25A28">
        <w:rPr>
          <w:sz w:val="22"/>
          <w:szCs w:val="22"/>
        </w:rPr>
        <w:t>student experience and explore strategies for enhancing</w:t>
      </w:r>
      <w:r w:rsidR="001B39C8" w:rsidRPr="00C25A28">
        <w:rPr>
          <w:sz w:val="22"/>
          <w:szCs w:val="22"/>
        </w:rPr>
        <w:t xml:space="preserve"> student </w:t>
      </w:r>
      <w:r w:rsidR="00351BF7" w:rsidRPr="00C25A28">
        <w:rPr>
          <w:sz w:val="22"/>
          <w:szCs w:val="22"/>
        </w:rPr>
        <w:t>engagement, attendance and retention</w:t>
      </w:r>
      <w:r w:rsidR="001B39C8" w:rsidRPr="00C25A28">
        <w:rPr>
          <w:sz w:val="22"/>
          <w:szCs w:val="22"/>
        </w:rPr>
        <w:t xml:space="preserve">. </w:t>
      </w:r>
    </w:p>
    <w:p w:rsidR="00C9438D" w:rsidRPr="00C25A28" w:rsidRDefault="007A2279" w:rsidP="00C03EA7">
      <w:pPr>
        <w:spacing w:line="240" w:lineRule="auto"/>
        <w:rPr>
          <w:sz w:val="22"/>
          <w:szCs w:val="22"/>
        </w:rPr>
      </w:pPr>
      <w:r w:rsidRPr="00C25A28">
        <w:rPr>
          <w:sz w:val="22"/>
          <w:szCs w:val="22"/>
        </w:rPr>
        <w:t xml:space="preserve">Our REACT </w:t>
      </w:r>
      <w:r w:rsidR="001B39C8" w:rsidRPr="00C25A28">
        <w:rPr>
          <w:sz w:val="22"/>
          <w:szCs w:val="22"/>
        </w:rPr>
        <w:t>action research project aims to create a shared vision about what engag</w:t>
      </w:r>
      <w:r w:rsidRPr="00C25A28">
        <w:rPr>
          <w:sz w:val="22"/>
          <w:szCs w:val="22"/>
        </w:rPr>
        <w:t>ement is in the broader sense, w</w:t>
      </w:r>
      <w:r w:rsidR="001B39C8" w:rsidRPr="00C25A28">
        <w:rPr>
          <w:sz w:val="22"/>
          <w:szCs w:val="22"/>
        </w:rPr>
        <w:t>orking in partnership with students to share engagement data, collating evidence about who is engaged and how</w:t>
      </w:r>
      <w:r w:rsidR="0013786D" w:rsidRPr="00C25A28">
        <w:rPr>
          <w:sz w:val="22"/>
          <w:szCs w:val="22"/>
        </w:rPr>
        <w:t>,</w:t>
      </w:r>
      <w:r w:rsidR="001B39C8" w:rsidRPr="00C25A28">
        <w:rPr>
          <w:sz w:val="22"/>
          <w:szCs w:val="22"/>
        </w:rPr>
        <w:t xml:space="preserve"> and who is not</w:t>
      </w:r>
      <w:r w:rsidR="003F6C93" w:rsidRPr="00C25A28">
        <w:rPr>
          <w:sz w:val="22"/>
          <w:szCs w:val="22"/>
        </w:rPr>
        <w:t xml:space="preserve"> and why</w:t>
      </w:r>
      <w:r w:rsidRPr="00C25A28">
        <w:rPr>
          <w:sz w:val="22"/>
          <w:szCs w:val="22"/>
        </w:rPr>
        <w:t>,</w:t>
      </w:r>
      <w:r w:rsidR="00EB1278" w:rsidRPr="00C25A28">
        <w:rPr>
          <w:sz w:val="22"/>
          <w:szCs w:val="22"/>
        </w:rPr>
        <w:t xml:space="preserve"> to create a</w:t>
      </w:r>
      <w:r w:rsidRPr="00C25A28">
        <w:rPr>
          <w:sz w:val="22"/>
          <w:szCs w:val="22"/>
        </w:rPr>
        <w:t xml:space="preserve"> stronger</w:t>
      </w:r>
      <w:r w:rsidR="00EB1278" w:rsidRPr="00C25A28">
        <w:rPr>
          <w:sz w:val="22"/>
          <w:szCs w:val="22"/>
        </w:rPr>
        <w:t xml:space="preserve"> culture of engagement</w:t>
      </w:r>
      <w:r w:rsidRPr="00C25A28">
        <w:rPr>
          <w:sz w:val="22"/>
          <w:szCs w:val="22"/>
        </w:rPr>
        <w:t>.</w:t>
      </w:r>
      <w:r w:rsidR="00C9438D" w:rsidRPr="00C25A28">
        <w:rPr>
          <w:sz w:val="22"/>
          <w:szCs w:val="22"/>
        </w:rPr>
        <w:t xml:space="preserve"> We wanted to work with the students as partners to deliver short and long term strategic initiatives to develop and deliver a flexible learning strategy and develop a culture of student engagement across four domains: learning, academic communities, quality assurance/enhancement and in extra-curricular activities.</w:t>
      </w:r>
    </w:p>
    <w:p w:rsidR="00C9438D" w:rsidRPr="00C25A28" w:rsidRDefault="00245F73" w:rsidP="00C03EA7">
      <w:pPr>
        <w:spacing w:line="240" w:lineRule="auto"/>
        <w:rPr>
          <w:sz w:val="22"/>
          <w:szCs w:val="22"/>
        </w:rPr>
      </w:pPr>
      <w:r w:rsidRPr="00C25A28">
        <w:rPr>
          <w:sz w:val="22"/>
          <w:szCs w:val="22"/>
        </w:rPr>
        <w:t xml:space="preserve">The REACT </w:t>
      </w:r>
      <w:r w:rsidR="007A2279" w:rsidRPr="00C25A28">
        <w:rPr>
          <w:sz w:val="22"/>
          <w:szCs w:val="22"/>
        </w:rPr>
        <w:t>team visited</w:t>
      </w:r>
      <w:r w:rsidRPr="00C25A28">
        <w:rPr>
          <w:sz w:val="22"/>
          <w:szCs w:val="22"/>
        </w:rPr>
        <w:t xml:space="preserve"> Bucks </w:t>
      </w:r>
      <w:r w:rsidR="009C1C59" w:rsidRPr="00C25A28">
        <w:rPr>
          <w:sz w:val="22"/>
          <w:szCs w:val="22"/>
        </w:rPr>
        <w:t xml:space="preserve">New University </w:t>
      </w:r>
      <w:r w:rsidRPr="00C25A28">
        <w:rPr>
          <w:sz w:val="22"/>
          <w:szCs w:val="22"/>
        </w:rPr>
        <w:t>for an initial scoping visit in March 2016</w:t>
      </w:r>
      <w:r w:rsidR="009C1C59" w:rsidRPr="00C25A28">
        <w:rPr>
          <w:sz w:val="22"/>
          <w:szCs w:val="22"/>
        </w:rPr>
        <w:t>. The visit</w:t>
      </w:r>
      <w:r w:rsidR="003F6C93" w:rsidRPr="00C25A28">
        <w:rPr>
          <w:sz w:val="22"/>
          <w:szCs w:val="22"/>
        </w:rPr>
        <w:t xml:space="preserve">, themed around </w:t>
      </w:r>
      <w:r w:rsidRPr="00C25A28">
        <w:rPr>
          <w:i/>
          <w:sz w:val="22"/>
          <w:szCs w:val="22"/>
        </w:rPr>
        <w:t>‘Perspectives on student engagement’</w:t>
      </w:r>
      <w:r w:rsidR="003F6C93" w:rsidRPr="00C25A28">
        <w:rPr>
          <w:sz w:val="22"/>
          <w:szCs w:val="22"/>
        </w:rPr>
        <w:t xml:space="preserve"> allowed us to </w:t>
      </w:r>
      <w:r w:rsidR="001B39C8" w:rsidRPr="00C25A28">
        <w:rPr>
          <w:sz w:val="22"/>
          <w:szCs w:val="22"/>
        </w:rPr>
        <w:t>identif</w:t>
      </w:r>
      <w:r w:rsidR="003F6C93" w:rsidRPr="00C25A28">
        <w:rPr>
          <w:sz w:val="22"/>
          <w:szCs w:val="22"/>
        </w:rPr>
        <w:t>y</w:t>
      </w:r>
      <w:r w:rsidR="001B39C8" w:rsidRPr="00C25A28">
        <w:rPr>
          <w:sz w:val="22"/>
          <w:szCs w:val="22"/>
        </w:rPr>
        <w:t xml:space="preserve"> beliefs about who our ‘hard to reach’ students are</w:t>
      </w:r>
      <w:r w:rsidR="007A2279" w:rsidRPr="00C25A28">
        <w:rPr>
          <w:sz w:val="22"/>
          <w:szCs w:val="22"/>
        </w:rPr>
        <w:t>.</w:t>
      </w:r>
      <w:r w:rsidR="00741DA4" w:rsidRPr="00C25A28">
        <w:rPr>
          <w:sz w:val="22"/>
          <w:szCs w:val="22"/>
        </w:rPr>
        <w:t xml:space="preserve"> </w:t>
      </w:r>
      <w:r w:rsidR="00C9438D" w:rsidRPr="00C25A28">
        <w:rPr>
          <w:sz w:val="22"/>
          <w:szCs w:val="22"/>
        </w:rPr>
        <w:t xml:space="preserve">Throughout the day, </w:t>
      </w:r>
      <w:r w:rsidR="001B39C8" w:rsidRPr="00C25A28">
        <w:rPr>
          <w:sz w:val="22"/>
          <w:szCs w:val="22"/>
        </w:rPr>
        <w:t xml:space="preserve">assumptions </w:t>
      </w:r>
      <w:r w:rsidR="00C9438D" w:rsidRPr="00C25A28">
        <w:rPr>
          <w:sz w:val="22"/>
          <w:szCs w:val="22"/>
        </w:rPr>
        <w:t xml:space="preserve">that widening participation students, particularly those in paid employment, study part time and/or at distance, long distance commuters, and those with family or caring commitments were hard to reach </w:t>
      </w:r>
      <w:r w:rsidR="009C1C59" w:rsidRPr="00C25A28">
        <w:rPr>
          <w:sz w:val="22"/>
          <w:szCs w:val="22"/>
        </w:rPr>
        <w:t>were challenged</w:t>
      </w:r>
      <w:r w:rsidR="00C9438D" w:rsidRPr="00C25A28">
        <w:rPr>
          <w:sz w:val="22"/>
          <w:szCs w:val="22"/>
        </w:rPr>
        <w:t>.</w:t>
      </w:r>
      <w:r w:rsidR="009C1C59" w:rsidRPr="00C25A28">
        <w:rPr>
          <w:sz w:val="22"/>
          <w:szCs w:val="22"/>
        </w:rPr>
        <w:t xml:space="preserve"> We also</w:t>
      </w:r>
      <w:r w:rsidR="003F6C93" w:rsidRPr="00C25A28">
        <w:rPr>
          <w:sz w:val="22"/>
          <w:szCs w:val="22"/>
        </w:rPr>
        <w:t xml:space="preserve"> </w:t>
      </w:r>
      <w:r w:rsidR="009C1C59" w:rsidRPr="00C25A28">
        <w:rPr>
          <w:sz w:val="22"/>
          <w:szCs w:val="22"/>
        </w:rPr>
        <w:t>explored</w:t>
      </w:r>
      <w:r w:rsidR="001B39C8" w:rsidRPr="00C25A28">
        <w:rPr>
          <w:sz w:val="22"/>
          <w:szCs w:val="22"/>
        </w:rPr>
        <w:t xml:space="preserve"> the diverse range of strategies</w:t>
      </w:r>
      <w:r w:rsidR="003F6C93" w:rsidRPr="00C25A28">
        <w:rPr>
          <w:sz w:val="22"/>
          <w:szCs w:val="22"/>
        </w:rPr>
        <w:t xml:space="preserve"> </w:t>
      </w:r>
      <w:r w:rsidR="001B39C8" w:rsidRPr="00C25A28">
        <w:rPr>
          <w:sz w:val="22"/>
          <w:szCs w:val="22"/>
        </w:rPr>
        <w:t>from acros</w:t>
      </w:r>
      <w:r w:rsidR="009C1C59" w:rsidRPr="00C25A28">
        <w:rPr>
          <w:sz w:val="22"/>
          <w:szCs w:val="22"/>
        </w:rPr>
        <w:t>s the sector that foster</w:t>
      </w:r>
      <w:r w:rsidR="001B39C8" w:rsidRPr="00C25A28">
        <w:rPr>
          <w:sz w:val="22"/>
          <w:szCs w:val="22"/>
        </w:rPr>
        <w:t xml:space="preserve"> re-engagement and evaluate</w:t>
      </w:r>
      <w:r w:rsidR="009C1C59" w:rsidRPr="00C25A28">
        <w:rPr>
          <w:sz w:val="22"/>
          <w:szCs w:val="22"/>
        </w:rPr>
        <w:t>d</w:t>
      </w:r>
      <w:r w:rsidR="001B39C8" w:rsidRPr="00C25A28">
        <w:rPr>
          <w:sz w:val="22"/>
          <w:szCs w:val="22"/>
        </w:rPr>
        <w:t xml:space="preserve"> the impact and success of these strategies on student engagement</w:t>
      </w:r>
      <w:r w:rsidR="009C1C59" w:rsidRPr="00C25A28">
        <w:rPr>
          <w:sz w:val="22"/>
          <w:szCs w:val="22"/>
        </w:rPr>
        <w:t>. The aim was to develop</w:t>
      </w:r>
      <w:r w:rsidR="001B39C8" w:rsidRPr="00C25A28">
        <w:rPr>
          <w:sz w:val="22"/>
          <w:szCs w:val="22"/>
        </w:rPr>
        <w:t xml:space="preserve"> a better understanding of what “reach” means and redefine what it me</w:t>
      </w:r>
      <w:r w:rsidR="009C1C59" w:rsidRPr="00C25A28">
        <w:rPr>
          <w:sz w:val="22"/>
          <w:szCs w:val="22"/>
        </w:rPr>
        <w:t>ans to be an engaged student</w:t>
      </w:r>
      <w:r w:rsidR="001B39C8" w:rsidRPr="00C25A28">
        <w:rPr>
          <w:sz w:val="22"/>
          <w:szCs w:val="22"/>
        </w:rPr>
        <w:t>.</w:t>
      </w:r>
      <w:r w:rsidR="009C1C59" w:rsidRPr="00C25A28">
        <w:rPr>
          <w:sz w:val="22"/>
          <w:szCs w:val="22"/>
        </w:rPr>
        <w:t xml:space="preserve"> </w:t>
      </w:r>
    </w:p>
    <w:p w:rsidR="00984B54" w:rsidRPr="00C25A28" w:rsidRDefault="001B39C8" w:rsidP="00C03EA7">
      <w:pPr>
        <w:pStyle w:val="Heading1"/>
        <w:spacing w:line="240" w:lineRule="auto"/>
      </w:pPr>
      <w:r w:rsidRPr="00C25A28">
        <w:t xml:space="preserve">The Bucks </w:t>
      </w:r>
      <w:r w:rsidR="00C9438D" w:rsidRPr="00C25A28">
        <w:t xml:space="preserve">New University REACT </w:t>
      </w:r>
      <w:r w:rsidRPr="00C25A28">
        <w:t>Project</w:t>
      </w:r>
    </w:p>
    <w:p w:rsidR="001B39C8" w:rsidRPr="00C25A28" w:rsidRDefault="00245F73" w:rsidP="00C03EA7">
      <w:pPr>
        <w:spacing w:line="240" w:lineRule="auto"/>
        <w:rPr>
          <w:sz w:val="22"/>
          <w:szCs w:val="22"/>
        </w:rPr>
      </w:pPr>
      <w:r w:rsidRPr="00C25A28">
        <w:rPr>
          <w:sz w:val="22"/>
          <w:szCs w:val="22"/>
        </w:rPr>
        <w:t>The Bucks proje</w:t>
      </w:r>
      <w:r w:rsidR="00C9438D" w:rsidRPr="00C25A28">
        <w:rPr>
          <w:sz w:val="22"/>
          <w:szCs w:val="22"/>
        </w:rPr>
        <w:t>ct is based on action research involving three action research cycles, e</w:t>
      </w:r>
      <w:r w:rsidRPr="00C25A28">
        <w:rPr>
          <w:sz w:val="22"/>
          <w:szCs w:val="22"/>
        </w:rPr>
        <w:t xml:space="preserve">mploying </w:t>
      </w:r>
      <w:r w:rsidR="00FB4FFD" w:rsidRPr="00C25A28">
        <w:rPr>
          <w:sz w:val="22"/>
          <w:szCs w:val="22"/>
        </w:rPr>
        <w:t xml:space="preserve">a pragmatic mixed methods approach involving </w:t>
      </w:r>
      <w:r w:rsidRPr="00C25A28">
        <w:rPr>
          <w:sz w:val="22"/>
          <w:szCs w:val="22"/>
        </w:rPr>
        <w:t xml:space="preserve">both </w:t>
      </w:r>
      <w:r w:rsidR="001B39C8" w:rsidRPr="00C25A28">
        <w:rPr>
          <w:sz w:val="22"/>
          <w:szCs w:val="22"/>
        </w:rPr>
        <w:t>quantitative and qualitative approach</w:t>
      </w:r>
      <w:r w:rsidR="00C9438D" w:rsidRPr="00C25A28">
        <w:rPr>
          <w:sz w:val="22"/>
          <w:szCs w:val="22"/>
        </w:rPr>
        <w:t>es. E</w:t>
      </w:r>
      <w:r w:rsidR="001B39C8" w:rsidRPr="00C25A28">
        <w:rPr>
          <w:sz w:val="22"/>
          <w:szCs w:val="22"/>
        </w:rPr>
        <w:t xml:space="preserve">ach </w:t>
      </w:r>
      <w:r w:rsidR="00C9438D" w:rsidRPr="00C25A28">
        <w:rPr>
          <w:sz w:val="22"/>
          <w:szCs w:val="22"/>
        </w:rPr>
        <w:t>action research cycle consists of</w:t>
      </w:r>
      <w:r w:rsidR="001B39C8" w:rsidRPr="00C25A28">
        <w:rPr>
          <w:sz w:val="22"/>
          <w:szCs w:val="22"/>
        </w:rPr>
        <w:t xml:space="preserve"> four stages</w:t>
      </w:r>
      <w:r w:rsidR="00FB4FFD" w:rsidRPr="00C25A28">
        <w:rPr>
          <w:sz w:val="22"/>
          <w:szCs w:val="22"/>
        </w:rPr>
        <w:t>:</w:t>
      </w:r>
      <w:r w:rsidR="001B39C8" w:rsidRPr="00C25A28">
        <w:rPr>
          <w:sz w:val="22"/>
          <w:szCs w:val="22"/>
        </w:rPr>
        <w:t xml:space="preserve"> planning, acting, observing and reflecting</w:t>
      </w:r>
      <w:r w:rsidR="00FB4FFD" w:rsidRPr="00C25A28">
        <w:rPr>
          <w:sz w:val="22"/>
          <w:szCs w:val="22"/>
        </w:rPr>
        <w:t xml:space="preserve"> </w:t>
      </w:r>
      <w:r w:rsidR="00FB4FFD" w:rsidRPr="00C25A28">
        <w:rPr>
          <w:sz w:val="22"/>
          <w:szCs w:val="22"/>
        </w:rPr>
        <w:fldChar w:fldCharType="begin" w:fldLock="1"/>
      </w:r>
      <w:r w:rsidR="00512049" w:rsidRPr="00C25A28">
        <w:rPr>
          <w:sz w:val="22"/>
          <w:szCs w:val="22"/>
        </w:rPr>
        <w:instrText>ADDIN CSL_CITATION { "citationItems" : [ { "id" : "ITEM-1", "itemData" : { "author" : [ { "dropping-particle" : "", "family" : "McNiff", "given" : "Jean", "non-dropping-particle" : "", "parse-names" : false, "suffix" : "" } ], "id" : "ITEM-1", "issued" : { "date-parts" : [ [ "1992" ] ] }, "publisher" : "Routledge", "publisher-place" : "London", "title" : "Action Research: principles and practice", "type" : "book" }, "uris" : [ "http://www.mendeley.com/documents/?uuid=e341a62c-68c1-40a4-a353-5b4c9ea0e462" ] } ], "mendeley" : { "formattedCitation" : "(McNiff, 1992)", "plainTextFormattedCitation" : "(McNiff, 1992)", "previouslyFormattedCitation" : "(McNiff, 1992)" }, "properties" : { "noteIndex" : 0 }, "schema" : "https://github.com/citation-style-language/schema/raw/master/csl-citation.json" }</w:instrText>
      </w:r>
      <w:r w:rsidR="00FB4FFD" w:rsidRPr="00C25A28">
        <w:rPr>
          <w:sz w:val="22"/>
          <w:szCs w:val="22"/>
        </w:rPr>
        <w:fldChar w:fldCharType="separate"/>
      </w:r>
      <w:r w:rsidR="00FB4FFD" w:rsidRPr="00C25A28">
        <w:rPr>
          <w:noProof/>
          <w:sz w:val="22"/>
          <w:szCs w:val="22"/>
        </w:rPr>
        <w:t>(McNiff, 1992)</w:t>
      </w:r>
      <w:r w:rsidR="00FB4FFD" w:rsidRPr="00C25A28">
        <w:rPr>
          <w:sz w:val="22"/>
          <w:szCs w:val="22"/>
        </w:rPr>
        <w:fldChar w:fldCharType="end"/>
      </w:r>
      <w:r w:rsidR="001B39C8" w:rsidRPr="00C25A28">
        <w:rPr>
          <w:sz w:val="22"/>
          <w:szCs w:val="22"/>
        </w:rPr>
        <w:t xml:space="preserve">.  </w:t>
      </w:r>
    </w:p>
    <w:p w:rsidR="00A33394" w:rsidRPr="00C25A28" w:rsidRDefault="00A33394" w:rsidP="00C03EA7">
      <w:pPr>
        <w:spacing w:line="240" w:lineRule="auto"/>
        <w:rPr>
          <w:sz w:val="22"/>
          <w:szCs w:val="22"/>
        </w:rPr>
      </w:pPr>
      <w:bookmarkStart w:id="1" w:name="_Ref482174647"/>
      <w:bookmarkStart w:id="2" w:name="_Ref482178000"/>
      <w:r w:rsidRPr="00C25A28">
        <w:rPr>
          <w:sz w:val="22"/>
          <w:szCs w:val="22"/>
        </w:rPr>
        <w:t xml:space="preserve">The first cycle (see </w:t>
      </w:r>
      <w:r w:rsidRPr="00C25A28">
        <w:rPr>
          <w:sz w:val="22"/>
          <w:szCs w:val="22"/>
        </w:rPr>
        <w:fldChar w:fldCharType="begin"/>
      </w:r>
      <w:r w:rsidRPr="00C25A28">
        <w:rPr>
          <w:sz w:val="22"/>
          <w:szCs w:val="22"/>
        </w:rPr>
        <w:instrText xml:space="preserve"> REF _Ref482174647 \h </w:instrText>
      </w:r>
      <w:r w:rsidR="00C03EA7" w:rsidRPr="00C25A28">
        <w:rPr>
          <w:sz w:val="22"/>
          <w:szCs w:val="22"/>
        </w:rPr>
        <w:instrText xml:space="preserve"> \* MERGEFORMAT </w:instrText>
      </w:r>
      <w:r w:rsidRPr="00C25A28">
        <w:rPr>
          <w:sz w:val="22"/>
          <w:szCs w:val="22"/>
        </w:rPr>
      </w:r>
      <w:r w:rsidRPr="00C25A28">
        <w:rPr>
          <w:sz w:val="22"/>
          <w:szCs w:val="22"/>
        </w:rPr>
        <w:fldChar w:fldCharType="separate"/>
      </w:r>
      <w:r w:rsidRPr="00C25A28">
        <w:rPr>
          <w:sz w:val="22"/>
          <w:szCs w:val="22"/>
        </w:rPr>
        <w:t xml:space="preserve">Table </w:t>
      </w:r>
      <w:r w:rsidRPr="00C25A28">
        <w:rPr>
          <w:noProof/>
          <w:sz w:val="22"/>
          <w:szCs w:val="22"/>
        </w:rPr>
        <w:t>1</w:t>
      </w:r>
      <w:r w:rsidRPr="00C25A28">
        <w:rPr>
          <w:sz w:val="22"/>
          <w:szCs w:val="22"/>
        </w:rPr>
        <w:fldChar w:fldCharType="end"/>
      </w:r>
      <w:r w:rsidRPr="00C25A28">
        <w:rPr>
          <w:sz w:val="22"/>
          <w:szCs w:val="22"/>
        </w:rPr>
        <w:t xml:space="preserve">, below) involved setting up the project </w:t>
      </w:r>
      <w:r w:rsidR="009911CE" w:rsidRPr="00C25A28">
        <w:rPr>
          <w:sz w:val="22"/>
          <w:szCs w:val="22"/>
        </w:rPr>
        <w:t xml:space="preserve">team </w:t>
      </w:r>
      <w:r w:rsidRPr="00C25A28">
        <w:rPr>
          <w:sz w:val="22"/>
          <w:szCs w:val="22"/>
        </w:rPr>
        <w:t xml:space="preserve">and collecting </w:t>
      </w:r>
      <w:r w:rsidR="009911CE" w:rsidRPr="00C25A28">
        <w:rPr>
          <w:sz w:val="22"/>
          <w:szCs w:val="22"/>
        </w:rPr>
        <w:t xml:space="preserve">and analysing </w:t>
      </w:r>
      <w:r w:rsidRPr="00C25A28">
        <w:rPr>
          <w:sz w:val="22"/>
          <w:szCs w:val="22"/>
        </w:rPr>
        <w:t xml:space="preserve">quantitative </w:t>
      </w:r>
      <w:r w:rsidR="009911CE" w:rsidRPr="00C25A28">
        <w:rPr>
          <w:sz w:val="22"/>
          <w:szCs w:val="22"/>
        </w:rPr>
        <w:t>data relating to student engagement activity across the institution. Ethical approval for the project was granted through the University Ethics committee in May 2016.</w:t>
      </w:r>
    </w:p>
    <w:p w:rsidR="00741DA4" w:rsidRPr="00C25A28" w:rsidRDefault="00741DA4">
      <w:pPr>
        <w:spacing w:line="259" w:lineRule="auto"/>
        <w:rPr>
          <w:iCs/>
          <w:sz w:val="22"/>
          <w:szCs w:val="22"/>
        </w:rPr>
      </w:pPr>
      <w:r w:rsidRPr="00C25A28">
        <w:rPr>
          <w:sz w:val="22"/>
          <w:szCs w:val="22"/>
        </w:rPr>
        <w:br w:type="page"/>
      </w:r>
    </w:p>
    <w:p w:rsidR="00960E79" w:rsidRPr="00C25A28" w:rsidRDefault="00960E79" w:rsidP="00C25A28">
      <w:pPr>
        <w:pStyle w:val="Caption"/>
      </w:pPr>
      <w:r w:rsidRPr="00C25A28">
        <w:lastRenderedPageBreak/>
        <w:t xml:space="preserve">Table </w:t>
      </w:r>
      <w:r w:rsidR="00C52233">
        <w:fldChar w:fldCharType="begin"/>
      </w:r>
      <w:r w:rsidR="00C52233">
        <w:instrText xml:space="preserve"> SEQ Table \* ARABIC </w:instrText>
      </w:r>
      <w:r w:rsidR="00C52233">
        <w:fldChar w:fldCharType="separate"/>
      </w:r>
      <w:r w:rsidR="00B02C84" w:rsidRPr="00C25A28">
        <w:t>1</w:t>
      </w:r>
      <w:r w:rsidR="00C52233">
        <w:fldChar w:fldCharType="end"/>
      </w:r>
      <w:bookmarkEnd w:id="1"/>
      <w:r w:rsidRPr="00C25A28">
        <w:t>: Cycle 1: Initial quantitative data collecting and analysis</w:t>
      </w:r>
      <w:bookmarkEnd w:id="2"/>
    </w:p>
    <w:tbl>
      <w:tblPr>
        <w:tblStyle w:val="TableGrid"/>
        <w:tblW w:w="0" w:type="auto"/>
        <w:jc w:val="center"/>
        <w:tblLook w:val="04A0" w:firstRow="1" w:lastRow="0" w:firstColumn="1" w:lastColumn="0" w:noHBand="0" w:noVBand="1"/>
      </w:tblPr>
      <w:tblGrid>
        <w:gridCol w:w="1128"/>
        <w:gridCol w:w="6380"/>
      </w:tblGrid>
      <w:tr w:rsidR="009911CE" w:rsidRPr="00C25A28" w:rsidTr="00326E86">
        <w:trPr>
          <w:jc w:val="center"/>
        </w:trPr>
        <w:tc>
          <w:tcPr>
            <w:tcW w:w="1128" w:type="dxa"/>
          </w:tcPr>
          <w:p w:rsidR="009911CE" w:rsidRPr="00C25A28" w:rsidRDefault="009911CE" w:rsidP="00C03EA7">
            <w:pPr>
              <w:spacing w:line="240" w:lineRule="auto"/>
              <w:rPr>
                <w:b/>
                <w:sz w:val="20"/>
                <w:szCs w:val="20"/>
              </w:rPr>
            </w:pPr>
            <w:r w:rsidRPr="00C25A28">
              <w:rPr>
                <w:b/>
                <w:sz w:val="20"/>
                <w:szCs w:val="20"/>
              </w:rPr>
              <w:t>Stage</w:t>
            </w:r>
          </w:p>
        </w:tc>
        <w:tc>
          <w:tcPr>
            <w:tcW w:w="6380" w:type="dxa"/>
          </w:tcPr>
          <w:p w:rsidR="009911CE" w:rsidRPr="00C25A28" w:rsidRDefault="009911CE" w:rsidP="00C03EA7">
            <w:pPr>
              <w:spacing w:line="240" w:lineRule="auto"/>
              <w:rPr>
                <w:b/>
                <w:sz w:val="20"/>
                <w:szCs w:val="20"/>
              </w:rPr>
            </w:pPr>
            <w:r w:rsidRPr="00C25A28">
              <w:rPr>
                <w:b/>
                <w:sz w:val="20"/>
                <w:szCs w:val="20"/>
              </w:rPr>
              <w:t>Activity</w:t>
            </w:r>
          </w:p>
        </w:tc>
      </w:tr>
      <w:tr w:rsidR="009911CE" w:rsidRPr="00C25A28" w:rsidTr="00326E86">
        <w:trPr>
          <w:jc w:val="center"/>
        </w:trPr>
        <w:tc>
          <w:tcPr>
            <w:tcW w:w="1128" w:type="dxa"/>
          </w:tcPr>
          <w:p w:rsidR="009911CE" w:rsidRPr="00C25A28" w:rsidRDefault="009911CE" w:rsidP="00C03EA7">
            <w:pPr>
              <w:spacing w:line="240" w:lineRule="auto"/>
              <w:rPr>
                <w:sz w:val="20"/>
                <w:szCs w:val="20"/>
              </w:rPr>
            </w:pPr>
            <w:r w:rsidRPr="00C25A28">
              <w:rPr>
                <w:sz w:val="20"/>
                <w:szCs w:val="20"/>
              </w:rPr>
              <w:t>Planning</w:t>
            </w:r>
          </w:p>
        </w:tc>
        <w:tc>
          <w:tcPr>
            <w:tcW w:w="6380" w:type="dxa"/>
          </w:tcPr>
          <w:p w:rsidR="009911CE" w:rsidRPr="00C25A28" w:rsidRDefault="009911CE" w:rsidP="00C03EA7">
            <w:pPr>
              <w:pStyle w:val="ListParagraph"/>
              <w:numPr>
                <w:ilvl w:val="0"/>
                <w:numId w:val="1"/>
              </w:numPr>
              <w:spacing w:line="240" w:lineRule="auto"/>
              <w:rPr>
                <w:sz w:val="20"/>
                <w:szCs w:val="20"/>
              </w:rPr>
            </w:pPr>
            <w:r w:rsidRPr="00C25A28">
              <w:rPr>
                <w:sz w:val="20"/>
                <w:szCs w:val="20"/>
              </w:rPr>
              <w:t>Setting up and meeting of the project team</w:t>
            </w:r>
          </w:p>
          <w:p w:rsidR="009911CE" w:rsidRPr="00C25A28" w:rsidRDefault="009911CE" w:rsidP="00C03EA7">
            <w:pPr>
              <w:pStyle w:val="ListParagraph"/>
              <w:numPr>
                <w:ilvl w:val="0"/>
                <w:numId w:val="1"/>
              </w:numPr>
              <w:spacing w:line="240" w:lineRule="auto"/>
              <w:rPr>
                <w:sz w:val="20"/>
                <w:szCs w:val="20"/>
              </w:rPr>
            </w:pPr>
            <w:r w:rsidRPr="00C25A28">
              <w:rPr>
                <w:sz w:val="20"/>
                <w:szCs w:val="20"/>
              </w:rPr>
              <w:t>Identifying and communicating with all staff involved in the project and discussion of activities</w:t>
            </w:r>
          </w:p>
          <w:p w:rsidR="009911CE" w:rsidRPr="00C25A28" w:rsidRDefault="009911CE" w:rsidP="00C03EA7">
            <w:pPr>
              <w:pStyle w:val="ListParagraph"/>
              <w:numPr>
                <w:ilvl w:val="0"/>
                <w:numId w:val="1"/>
              </w:numPr>
              <w:spacing w:line="240" w:lineRule="auto"/>
              <w:rPr>
                <w:sz w:val="20"/>
                <w:szCs w:val="20"/>
              </w:rPr>
            </w:pPr>
            <w:r w:rsidRPr="00C25A28">
              <w:rPr>
                <w:sz w:val="20"/>
                <w:szCs w:val="20"/>
              </w:rPr>
              <w:t>Gaining access to information required for phase 1</w:t>
            </w:r>
          </w:p>
        </w:tc>
      </w:tr>
      <w:tr w:rsidR="009911CE" w:rsidRPr="00C25A28" w:rsidTr="00326E86">
        <w:trPr>
          <w:jc w:val="center"/>
        </w:trPr>
        <w:tc>
          <w:tcPr>
            <w:tcW w:w="1128" w:type="dxa"/>
          </w:tcPr>
          <w:p w:rsidR="009911CE" w:rsidRPr="00C25A28" w:rsidRDefault="009911CE" w:rsidP="00C03EA7">
            <w:pPr>
              <w:spacing w:line="240" w:lineRule="auto"/>
              <w:rPr>
                <w:sz w:val="20"/>
                <w:szCs w:val="20"/>
              </w:rPr>
            </w:pPr>
            <w:r w:rsidRPr="00C25A28">
              <w:rPr>
                <w:sz w:val="20"/>
                <w:szCs w:val="20"/>
              </w:rPr>
              <w:t>Acting</w:t>
            </w:r>
          </w:p>
        </w:tc>
        <w:tc>
          <w:tcPr>
            <w:tcW w:w="6380" w:type="dxa"/>
          </w:tcPr>
          <w:p w:rsidR="009911CE" w:rsidRPr="00C25A28" w:rsidRDefault="009911CE" w:rsidP="00C03EA7">
            <w:pPr>
              <w:pStyle w:val="ListParagraph"/>
              <w:numPr>
                <w:ilvl w:val="0"/>
                <w:numId w:val="2"/>
              </w:numPr>
              <w:spacing w:line="240" w:lineRule="auto"/>
              <w:rPr>
                <w:sz w:val="20"/>
                <w:szCs w:val="20"/>
              </w:rPr>
            </w:pPr>
            <w:r w:rsidRPr="00C25A28">
              <w:rPr>
                <w:sz w:val="20"/>
                <w:szCs w:val="20"/>
              </w:rPr>
              <w:t>Seeking ethical approval from the Bucks New University Ethics Committee.</w:t>
            </w:r>
          </w:p>
          <w:p w:rsidR="009911CE" w:rsidRPr="00C25A28" w:rsidRDefault="009911CE" w:rsidP="00C03EA7">
            <w:pPr>
              <w:pStyle w:val="ListParagraph"/>
              <w:numPr>
                <w:ilvl w:val="0"/>
                <w:numId w:val="2"/>
              </w:numPr>
              <w:spacing w:line="240" w:lineRule="auto"/>
              <w:rPr>
                <w:sz w:val="20"/>
                <w:szCs w:val="20"/>
              </w:rPr>
            </w:pPr>
            <w:r w:rsidRPr="00C25A28">
              <w:rPr>
                <w:sz w:val="20"/>
                <w:szCs w:val="20"/>
              </w:rPr>
              <w:t xml:space="preserve">Preparing project schedule (action plan) </w:t>
            </w:r>
          </w:p>
          <w:p w:rsidR="009911CE" w:rsidRPr="00C25A28" w:rsidRDefault="009911CE" w:rsidP="00C03EA7">
            <w:pPr>
              <w:pStyle w:val="ListParagraph"/>
              <w:numPr>
                <w:ilvl w:val="0"/>
                <w:numId w:val="2"/>
              </w:numPr>
              <w:spacing w:line="240" w:lineRule="auto"/>
              <w:rPr>
                <w:sz w:val="20"/>
                <w:szCs w:val="20"/>
              </w:rPr>
            </w:pPr>
            <w:r w:rsidRPr="00C25A28">
              <w:rPr>
                <w:sz w:val="20"/>
                <w:szCs w:val="20"/>
              </w:rPr>
              <w:t>Presenting project plan to SMT sponsor (PVC, Learning and Teaching)</w:t>
            </w:r>
          </w:p>
          <w:p w:rsidR="009911CE" w:rsidRPr="00C25A28" w:rsidRDefault="009911CE" w:rsidP="00C03EA7">
            <w:pPr>
              <w:pStyle w:val="ListParagraph"/>
              <w:numPr>
                <w:ilvl w:val="0"/>
                <w:numId w:val="2"/>
              </w:numPr>
              <w:spacing w:line="240" w:lineRule="auto"/>
              <w:rPr>
                <w:sz w:val="20"/>
                <w:szCs w:val="20"/>
              </w:rPr>
            </w:pPr>
            <w:r w:rsidRPr="00C25A28">
              <w:rPr>
                <w:sz w:val="20"/>
                <w:szCs w:val="20"/>
              </w:rPr>
              <w:t>Conduct quantitative data gathering</w:t>
            </w:r>
          </w:p>
        </w:tc>
      </w:tr>
      <w:tr w:rsidR="009911CE" w:rsidRPr="00C25A28" w:rsidTr="00326E86">
        <w:trPr>
          <w:jc w:val="center"/>
        </w:trPr>
        <w:tc>
          <w:tcPr>
            <w:tcW w:w="1128" w:type="dxa"/>
          </w:tcPr>
          <w:p w:rsidR="009911CE" w:rsidRPr="00C25A28" w:rsidRDefault="009911CE" w:rsidP="00C03EA7">
            <w:pPr>
              <w:spacing w:line="240" w:lineRule="auto"/>
              <w:rPr>
                <w:sz w:val="20"/>
                <w:szCs w:val="20"/>
              </w:rPr>
            </w:pPr>
            <w:r w:rsidRPr="00C25A28">
              <w:rPr>
                <w:sz w:val="20"/>
                <w:szCs w:val="20"/>
              </w:rPr>
              <w:t>Observing</w:t>
            </w:r>
          </w:p>
        </w:tc>
        <w:tc>
          <w:tcPr>
            <w:tcW w:w="6380" w:type="dxa"/>
          </w:tcPr>
          <w:p w:rsidR="009911CE" w:rsidRPr="00C25A28" w:rsidRDefault="009911CE" w:rsidP="00C03EA7">
            <w:pPr>
              <w:pStyle w:val="ListParagraph"/>
              <w:numPr>
                <w:ilvl w:val="0"/>
                <w:numId w:val="10"/>
              </w:numPr>
              <w:spacing w:line="240" w:lineRule="auto"/>
              <w:rPr>
                <w:sz w:val="20"/>
                <w:szCs w:val="20"/>
              </w:rPr>
            </w:pPr>
            <w:r w:rsidRPr="00C25A28">
              <w:rPr>
                <w:sz w:val="20"/>
                <w:szCs w:val="20"/>
              </w:rPr>
              <w:t>Critical reflexivity discussion from the project team</w:t>
            </w:r>
          </w:p>
        </w:tc>
      </w:tr>
      <w:tr w:rsidR="009911CE" w:rsidRPr="00C25A28" w:rsidTr="00326E86">
        <w:trPr>
          <w:jc w:val="center"/>
        </w:trPr>
        <w:tc>
          <w:tcPr>
            <w:tcW w:w="1128" w:type="dxa"/>
          </w:tcPr>
          <w:p w:rsidR="009911CE" w:rsidRPr="00C25A28" w:rsidRDefault="009911CE" w:rsidP="00C03EA7">
            <w:pPr>
              <w:spacing w:line="240" w:lineRule="auto"/>
              <w:rPr>
                <w:sz w:val="20"/>
                <w:szCs w:val="20"/>
              </w:rPr>
            </w:pPr>
            <w:r w:rsidRPr="00C25A28">
              <w:rPr>
                <w:sz w:val="20"/>
                <w:szCs w:val="20"/>
              </w:rPr>
              <w:t>Reflecting</w:t>
            </w:r>
          </w:p>
        </w:tc>
        <w:tc>
          <w:tcPr>
            <w:tcW w:w="6380" w:type="dxa"/>
          </w:tcPr>
          <w:p w:rsidR="009911CE" w:rsidRPr="00C25A28" w:rsidRDefault="009911CE" w:rsidP="00C03EA7">
            <w:pPr>
              <w:pStyle w:val="ListParagraph"/>
              <w:numPr>
                <w:ilvl w:val="0"/>
                <w:numId w:val="4"/>
              </w:numPr>
              <w:spacing w:line="240" w:lineRule="auto"/>
              <w:rPr>
                <w:sz w:val="20"/>
                <w:szCs w:val="20"/>
              </w:rPr>
            </w:pPr>
            <w:r w:rsidRPr="00C25A28">
              <w:rPr>
                <w:sz w:val="20"/>
                <w:szCs w:val="20"/>
              </w:rPr>
              <w:t>Analyse data</w:t>
            </w:r>
          </w:p>
          <w:p w:rsidR="009911CE" w:rsidRPr="00C25A28" w:rsidRDefault="009911CE" w:rsidP="00C03EA7">
            <w:pPr>
              <w:pStyle w:val="ListParagraph"/>
              <w:numPr>
                <w:ilvl w:val="0"/>
                <w:numId w:val="4"/>
              </w:numPr>
              <w:spacing w:line="240" w:lineRule="auto"/>
              <w:rPr>
                <w:sz w:val="20"/>
                <w:szCs w:val="20"/>
              </w:rPr>
            </w:pPr>
            <w:r w:rsidRPr="00C25A28">
              <w:rPr>
                <w:sz w:val="20"/>
                <w:szCs w:val="20"/>
              </w:rPr>
              <w:t>Seek peer validation (REACT team)</w:t>
            </w:r>
          </w:p>
        </w:tc>
      </w:tr>
    </w:tbl>
    <w:p w:rsidR="009911CE" w:rsidRPr="00C25A28" w:rsidRDefault="009911CE" w:rsidP="00C03EA7">
      <w:pPr>
        <w:spacing w:line="240" w:lineRule="auto"/>
        <w:rPr>
          <w:sz w:val="22"/>
          <w:szCs w:val="22"/>
        </w:rPr>
      </w:pPr>
    </w:p>
    <w:p w:rsidR="00245F73" w:rsidRPr="00C25A28" w:rsidRDefault="007472C3" w:rsidP="00C03EA7">
      <w:pPr>
        <w:spacing w:line="240" w:lineRule="auto"/>
        <w:rPr>
          <w:sz w:val="22"/>
          <w:szCs w:val="22"/>
        </w:rPr>
      </w:pPr>
      <w:r w:rsidRPr="00C25A28">
        <w:rPr>
          <w:sz w:val="22"/>
          <w:szCs w:val="22"/>
        </w:rPr>
        <w:t>The project team</w:t>
      </w:r>
      <w:r w:rsidR="009911CE" w:rsidRPr="00C25A28">
        <w:rPr>
          <w:sz w:val="22"/>
          <w:szCs w:val="22"/>
        </w:rPr>
        <w:t xml:space="preserve"> gathered data from </w:t>
      </w:r>
      <w:r w:rsidRPr="00C25A28">
        <w:rPr>
          <w:sz w:val="22"/>
          <w:szCs w:val="22"/>
        </w:rPr>
        <w:t xml:space="preserve">a range of sources (see </w:t>
      </w:r>
      <w:r w:rsidRPr="00C25A28">
        <w:rPr>
          <w:sz w:val="22"/>
          <w:szCs w:val="22"/>
        </w:rPr>
        <w:fldChar w:fldCharType="begin"/>
      </w:r>
      <w:r w:rsidRPr="00C25A28">
        <w:rPr>
          <w:sz w:val="22"/>
          <w:szCs w:val="22"/>
        </w:rPr>
        <w:instrText xml:space="preserve"> REF _Ref482174608 \h </w:instrText>
      </w:r>
      <w:r w:rsidR="00C03EA7" w:rsidRPr="00C25A28">
        <w:rPr>
          <w:sz w:val="22"/>
          <w:szCs w:val="22"/>
        </w:rPr>
        <w:instrText xml:space="preserve"> \* MERGEFORMAT </w:instrText>
      </w:r>
      <w:r w:rsidRPr="00C25A28">
        <w:rPr>
          <w:sz w:val="22"/>
          <w:szCs w:val="22"/>
        </w:rPr>
      </w:r>
      <w:r w:rsidRPr="00C25A28">
        <w:rPr>
          <w:sz w:val="22"/>
          <w:szCs w:val="22"/>
        </w:rPr>
        <w:fldChar w:fldCharType="separate"/>
      </w:r>
      <w:r w:rsidRPr="00C25A28">
        <w:rPr>
          <w:sz w:val="22"/>
          <w:szCs w:val="22"/>
        </w:rPr>
        <w:t xml:space="preserve">Table </w:t>
      </w:r>
      <w:r w:rsidRPr="00C25A28">
        <w:rPr>
          <w:noProof/>
          <w:sz w:val="22"/>
          <w:szCs w:val="22"/>
        </w:rPr>
        <w:t>2</w:t>
      </w:r>
      <w:r w:rsidRPr="00C25A28">
        <w:rPr>
          <w:sz w:val="22"/>
          <w:szCs w:val="22"/>
        </w:rPr>
        <w:fldChar w:fldCharType="end"/>
      </w:r>
      <w:r w:rsidRPr="00C25A28">
        <w:rPr>
          <w:sz w:val="22"/>
          <w:szCs w:val="22"/>
        </w:rPr>
        <w:t>) and were joined by t</w:t>
      </w:r>
      <w:r w:rsidR="00245F73" w:rsidRPr="00C25A28">
        <w:rPr>
          <w:sz w:val="22"/>
          <w:szCs w:val="22"/>
        </w:rPr>
        <w:t>he REAC</w:t>
      </w:r>
      <w:r w:rsidR="009911CE" w:rsidRPr="00C25A28">
        <w:rPr>
          <w:sz w:val="22"/>
          <w:szCs w:val="22"/>
        </w:rPr>
        <w:t xml:space="preserve">T team </w:t>
      </w:r>
      <w:r w:rsidRPr="00C25A28">
        <w:rPr>
          <w:sz w:val="22"/>
          <w:szCs w:val="22"/>
        </w:rPr>
        <w:t>in July 2016 to provide criticality and peer validation of the approach taken to data selection and analysis.</w:t>
      </w:r>
    </w:p>
    <w:p w:rsidR="00960E79" w:rsidRPr="00C25A28" w:rsidRDefault="00960E79" w:rsidP="00C25A28">
      <w:pPr>
        <w:pStyle w:val="Caption"/>
      </w:pPr>
      <w:bookmarkStart w:id="3" w:name="_Ref482174608"/>
      <w:bookmarkStart w:id="4" w:name="_Ref482178259"/>
      <w:r w:rsidRPr="00C25A28">
        <w:t xml:space="preserve">Table </w:t>
      </w:r>
      <w:r w:rsidR="00C52233">
        <w:fldChar w:fldCharType="begin"/>
      </w:r>
      <w:r w:rsidR="00C52233">
        <w:instrText xml:space="preserve"> SEQ Table \* ARABIC </w:instrText>
      </w:r>
      <w:r w:rsidR="00C52233">
        <w:fldChar w:fldCharType="separate"/>
      </w:r>
      <w:r w:rsidR="00B02C84" w:rsidRPr="00C25A28">
        <w:t>2</w:t>
      </w:r>
      <w:r w:rsidR="00C52233">
        <w:fldChar w:fldCharType="end"/>
      </w:r>
      <w:bookmarkEnd w:id="3"/>
      <w:r w:rsidRPr="00C25A28">
        <w:t>: Institutional data sources and data sets</w:t>
      </w:r>
      <w:bookmarkEnd w:id="4"/>
    </w:p>
    <w:tbl>
      <w:tblPr>
        <w:tblStyle w:val="TableGrid"/>
        <w:tblW w:w="7933" w:type="dxa"/>
        <w:jc w:val="center"/>
        <w:tblLook w:val="04A0" w:firstRow="1" w:lastRow="0" w:firstColumn="1" w:lastColumn="0" w:noHBand="0" w:noVBand="1"/>
      </w:tblPr>
      <w:tblGrid>
        <w:gridCol w:w="2830"/>
        <w:gridCol w:w="5103"/>
      </w:tblGrid>
      <w:tr w:rsidR="00245F73" w:rsidRPr="00C25A28" w:rsidTr="00326E86">
        <w:trPr>
          <w:jc w:val="center"/>
        </w:trPr>
        <w:tc>
          <w:tcPr>
            <w:tcW w:w="2830" w:type="dxa"/>
          </w:tcPr>
          <w:p w:rsidR="00245F73" w:rsidRPr="00C25A28" w:rsidRDefault="00245F73" w:rsidP="00C03EA7">
            <w:pPr>
              <w:spacing w:line="240" w:lineRule="auto"/>
              <w:rPr>
                <w:b/>
                <w:sz w:val="20"/>
                <w:szCs w:val="20"/>
              </w:rPr>
            </w:pPr>
            <w:r w:rsidRPr="00C25A28">
              <w:rPr>
                <w:b/>
                <w:sz w:val="20"/>
                <w:szCs w:val="20"/>
              </w:rPr>
              <w:t>Source</w:t>
            </w:r>
          </w:p>
        </w:tc>
        <w:tc>
          <w:tcPr>
            <w:tcW w:w="5103" w:type="dxa"/>
          </w:tcPr>
          <w:p w:rsidR="00245F73" w:rsidRPr="00C25A28" w:rsidRDefault="00245F73" w:rsidP="00C03EA7">
            <w:pPr>
              <w:spacing w:line="240" w:lineRule="auto"/>
              <w:rPr>
                <w:b/>
                <w:sz w:val="20"/>
                <w:szCs w:val="20"/>
              </w:rPr>
            </w:pPr>
            <w:r w:rsidRPr="00C25A28">
              <w:rPr>
                <w:b/>
                <w:sz w:val="20"/>
                <w:szCs w:val="20"/>
              </w:rPr>
              <w:t>Data sets</w:t>
            </w:r>
          </w:p>
        </w:tc>
      </w:tr>
      <w:tr w:rsidR="00245F73" w:rsidRPr="00C25A28" w:rsidTr="00326E86">
        <w:trPr>
          <w:jc w:val="center"/>
        </w:trPr>
        <w:tc>
          <w:tcPr>
            <w:tcW w:w="2830" w:type="dxa"/>
          </w:tcPr>
          <w:p w:rsidR="00245F73" w:rsidRPr="00C25A28" w:rsidRDefault="00245F73" w:rsidP="00C03EA7">
            <w:pPr>
              <w:spacing w:line="240" w:lineRule="auto"/>
              <w:rPr>
                <w:sz w:val="20"/>
                <w:szCs w:val="20"/>
              </w:rPr>
            </w:pPr>
            <w:r w:rsidRPr="00C25A28">
              <w:rPr>
                <w:sz w:val="20"/>
                <w:szCs w:val="20"/>
              </w:rPr>
              <w:t>Timetabling</w:t>
            </w:r>
          </w:p>
        </w:tc>
        <w:tc>
          <w:tcPr>
            <w:tcW w:w="5103" w:type="dxa"/>
          </w:tcPr>
          <w:p w:rsidR="00245F73" w:rsidRPr="00C25A28" w:rsidRDefault="00245F73" w:rsidP="00C03EA7">
            <w:pPr>
              <w:spacing w:line="240" w:lineRule="auto"/>
              <w:rPr>
                <w:sz w:val="20"/>
                <w:szCs w:val="20"/>
              </w:rPr>
            </w:pPr>
            <w:r w:rsidRPr="00C25A28">
              <w:rPr>
                <w:sz w:val="20"/>
                <w:szCs w:val="20"/>
              </w:rPr>
              <w:t>Attendance data</w:t>
            </w:r>
          </w:p>
        </w:tc>
      </w:tr>
      <w:tr w:rsidR="00245F73" w:rsidRPr="00C25A28" w:rsidTr="00326E86">
        <w:trPr>
          <w:jc w:val="center"/>
        </w:trPr>
        <w:tc>
          <w:tcPr>
            <w:tcW w:w="2830" w:type="dxa"/>
          </w:tcPr>
          <w:p w:rsidR="00245F73" w:rsidRPr="00C25A28" w:rsidRDefault="00245F73" w:rsidP="00C03EA7">
            <w:pPr>
              <w:spacing w:line="240" w:lineRule="auto"/>
              <w:rPr>
                <w:sz w:val="20"/>
                <w:szCs w:val="20"/>
              </w:rPr>
            </w:pPr>
            <w:r w:rsidRPr="00C25A28">
              <w:rPr>
                <w:sz w:val="20"/>
                <w:szCs w:val="20"/>
              </w:rPr>
              <w:t>NSS</w:t>
            </w:r>
          </w:p>
        </w:tc>
        <w:tc>
          <w:tcPr>
            <w:tcW w:w="5103" w:type="dxa"/>
          </w:tcPr>
          <w:p w:rsidR="00DF1F0A" w:rsidRPr="00C25A28" w:rsidRDefault="00245F73" w:rsidP="00C03EA7">
            <w:pPr>
              <w:spacing w:line="240" w:lineRule="auto"/>
              <w:rPr>
                <w:sz w:val="20"/>
                <w:szCs w:val="20"/>
              </w:rPr>
            </w:pPr>
            <w:r w:rsidRPr="00C25A28">
              <w:rPr>
                <w:sz w:val="20"/>
                <w:szCs w:val="20"/>
              </w:rPr>
              <w:t>Participation data</w:t>
            </w:r>
          </w:p>
        </w:tc>
      </w:tr>
      <w:tr w:rsidR="00245F73" w:rsidRPr="00C25A28" w:rsidTr="00326E86">
        <w:trPr>
          <w:jc w:val="center"/>
        </w:trPr>
        <w:tc>
          <w:tcPr>
            <w:tcW w:w="2830" w:type="dxa"/>
          </w:tcPr>
          <w:p w:rsidR="00245F73" w:rsidRPr="00C25A28" w:rsidRDefault="00245F73" w:rsidP="00C03EA7">
            <w:pPr>
              <w:spacing w:line="240" w:lineRule="auto"/>
              <w:rPr>
                <w:sz w:val="20"/>
                <w:szCs w:val="20"/>
              </w:rPr>
            </w:pPr>
            <w:r w:rsidRPr="00C25A28">
              <w:rPr>
                <w:sz w:val="20"/>
                <w:szCs w:val="20"/>
              </w:rPr>
              <w:t>Student Union</w:t>
            </w:r>
          </w:p>
        </w:tc>
        <w:tc>
          <w:tcPr>
            <w:tcW w:w="5103" w:type="dxa"/>
          </w:tcPr>
          <w:p w:rsidR="00245F73" w:rsidRPr="00C25A28" w:rsidRDefault="00245F73" w:rsidP="00C03EA7">
            <w:pPr>
              <w:spacing w:line="240" w:lineRule="auto"/>
              <w:rPr>
                <w:sz w:val="20"/>
                <w:szCs w:val="20"/>
              </w:rPr>
            </w:pPr>
            <w:r w:rsidRPr="00C25A28">
              <w:rPr>
                <w:sz w:val="20"/>
                <w:szCs w:val="20"/>
              </w:rPr>
              <w:t>SU activity, societies, programme reps</w:t>
            </w:r>
          </w:p>
        </w:tc>
      </w:tr>
      <w:tr w:rsidR="00245F73" w:rsidRPr="00C25A28" w:rsidTr="00326E86">
        <w:trPr>
          <w:jc w:val="center"/>
        </w:trPr>
        <w:tc>
          <w:tcPr>
            <w:tcW w:w="2830" w:type="dxa"/>
          </w:tcPr>
          <w:p w:rsidR="00245F73" w:rsidRPr="00C25A28" w:rsidRDefault="00245F73" w:rsidP="00C03EA7">
            <w:pPr>
              <w:spacing w:line="240" w:lineRule="auto"/>
              <w:rPr>
                <w:sz w:val="20"/>
                <w:szCs w:val="20"/>
              </w:rPr>
            </w:pPr>
            <w:r w:rsidRPr="00C25A28">
              <w:rPr>
                <w:sz w:val="20"/>
                <w:szCs w:val="20"/>
              </w:rPr>
              <w:t>Planning &amp; Intelligence</w:t>
            </w:r>
          </w:p>
        </w:tc>
        <w:tc>
          <w:tcPr>
            <w:tcW w:w="5103" w:type="dxa"/>
          </w:tcPr>
          <w:p w:rsidR="00506067" w:rsidRPr="00C25A28" w:rsidRDefault="00245F73" w:rsidP="00C03EA7">
            <w:pPr>
              <w:spacing w:line="240" w:lineRule="auto"/>
              <w:rPr>
                <w:sz w:val="20"/>
                <w:szCs w:val="20"/>
              </w:rPr>
            </w:pPr>
            <w:r w:rsidRPr="00C25A28">
              <w:rPr>
                <w:sz w:val="20"/>
                <w:szCs w:val="20"/>
              </w:rPr>
              <w:t>Progressions stats</w:t>
            </w:r>
            <w:r w:rsidR="0012538E" w:rsidRPr="00C25A28">
              <w:rPr>
                <w:sz w:val="20"/>
                <w:szCs w:val="20"/>
              </w:rPr>
              <w:t xml:space="preserve">; </w:t>
            </w:r>
            <w:r w:rsidR="00506067" w:rsidRPr="00C25A28">
              <w:rPr>
                <w:sz w:val="20"/>
                <w:szCs w:val="20"/>
              </w:rPr>
              <w:t>Module evaluation data</w:t>
            </w:r>
            <w:r w:rsidR="0012538E" w:rsidRPr="00C25A28">
              <w:rPr>
                <w:sz w:val="20"/>
                <w:szCs w:val="20"/>
              </w:rPr>
              <w:t xml:space="preserve">; </w:t>
            </w:r>
            <w:r w:rsidR="00326E86" w:rsidRPr="00C25A28">
              <w:rPr>
                <w:sz w:val="20"/>
                <w:szCs w:val="20"/>
              </w:rPr>
              <w:t>Attrition</w:t>
            </w:r>
          </w:p>
        </w:tc>
      </w:tr>
      <w:tr w:rsidR="00245F73" w:rsidRPr="00C25A28" w:rsidTr="00326E86">
        <w:trPr>
          <w:jc w:val="center"/>
        </w:trPr>
        <w:tc>
          <w:tcPr>
            <w:tcW w:w="2830" w:type="dxa"/>
          </w:tcPr>
          <w:p w:rsidR="00245F73" w:rsidRPr="00C25A28" w:rsidRDefault="00506067" w:rsidP="00C03EA7">
            <w:pPr>
              <w:spacing w:line="240" w:lineRule="auto"/>
              <w:rPr>
                <w:sz w:val="20"/>
                <w:szCs w:val="20"/>
              </w:rPr>
            </w:pPr>
            <w:r w:rsidRPr="00C25A28">
              <w:rPr>
                <w:sz w:val="20"/>
                <w:szCs w:val="20"/>
              </w:rPr>
              <w:t>Open for Learning</w:t>
            </w:r>
          </w:p>
        </w:tc>
        <w:tc>
          <w:tcPr>
            <w:tcW w:w="5103" w:type="dxa"/>
          </w:tcPr>
          <w:p w:rsidR="00245F73" w:rsidRPr="00C25A28" w:rsidRDefault="00506067" w:rsidP="00C03EA7">
            <w:pPr>
              <w:spacing w:line="240" w:lineRule="auto"/>
              <w:rPr>
                <w:sz w:val="20"/>
                <w:szCs w:val="20"/>
              </w:rPr>
            </w:pPr>
            <w:r w:rsidRPr="00C25A28">
              <w:rPr>
                <w:sz w:val="20"/>
                <w:szCs w:val="20"/>
              </w:rPr>
              <w:t>VLE activity</w:t>
            </w:r>
          </w:p>
        </w:tc>
      </w:tr>
      <w:tr w:rsidR="00245F73" w:rsidRPr="00C25A28" w:rsidTr="00326E86">
        <w:trPr>
          <w:jc w:val="center"/>
        </w:trPr>
        <w:tc>
          <w:tcPr>
            <w:tcW w:w="2830" w:type="dxa"/>
          </w:tcPr>
          <w:p w:rsidR="00245F73" w:rsidRPr="00C25A28" w:rsidRDefault="00506067" w:rsidP="00C03EA7">
            <w:pPr>
              <w:spacing w:line="240" w:lineRule="auto"/>
              <w:rPr>
                <w:sz w:val="20"/>
                <w:szCs w:val="20"/>
              </w:rPr>
            </w:pPr>
            <w:r w:rsidRPr="00C25A28">
              <w:rPr>
                <w:sz w:val="20"/>
                <w:szCs w:val="20"/>
              </w:rPr>
              <w:t>Careers</w:t>
            </w:r>
          </w:p>
        </w:tc>
        <w:tc>
          <w:tcPr>
            <w:tcW w:w="5103" w:type="dxa"/>
          </w:tcPr>
          <w:p w:rsidR="00245F73" w:rsidRPr="00C25A28" w:rsidRDefault="00506067" w:rsidP="00C03EA7">
            <w:pPr>
              <w:spacing w:line="240" w:lineRule="auto"/>
              <w:rPr>
                <w:sz w:val="20"/>
                <w:szCs w:val="20"/>
              </w:rPr>
            </w:pPr>
            <w:r w:rsidRPr="00C25A28">
              <w:rPr>
                <w:sz w:val="20"/>
                <w:szCs w:val="20"/>
              </w:rPr>
              <w:t>DLHE stats</w:t>
            </w:r>
          </w:p>
        </w:tc>
      </w:tr>
      <w:tr w:rsidR="00245F73" w:rsidRPr="00C25A28" w:rsidTr="00326E86">
        <w:trPr>
          <w:jc w:val="center"/>
        </w:trPr>
        <w:tc>
          <w:tcPr>
            <w:tcW w:w="2830" w:type="dxa"/>
          </w:tcPr>
          <w:p w:rsidR="00245F73" w:rsidRPr="00C25A28" w:rsidRDefault="00506067" w:rsidP="00C03EA7">
            <w:pPr>
              <w:spacing w:line="240" w:lineRule="auto"/>
              <w:rPr>
                <w:sz w:val="20"/>
                <w:szCs w:val="20"/>
              </w:rPr>
            </w:pPr>
            <w:r w:rsidRPr="00C25A28">
              <w:rPr>
                <w:sz w:val="20"/>
                <w:szCs w:val="20"/>
              </w:rPr>
              <w:t>Learning &amp; Teaching</w:t>
            </w:r>
          </w:p>
        </w:tc>
        <w:tc>
          <w:tcPr>
            <w:tcW w:w="5103" w:type="dxa"/>
          </w:tcPr>
          <w:p w:rsidR="00245F73" w:rsidRPr="00C25A28" w:rsidRDefault="00506067" w:rsidP="00C03EA7">
            <w:pPr>
              <w:spacing w:line="240" w:lineRule="auto"/>
              <w:rPr>
                <w:sz w:val="20"/>
                <w:szCs w:val="20"/>
              </w:rPr>
            </w:pPr>
            <w:r w:rsidRPr="00C25A28">
              <w:rPr>
                <w:sz w:val="20"/>
                <w:szCs w:val="20"/>
              </w:rPr>
              <w:t>Student support from central services, e.g. LDU</w:t>
            </w:r>
          </w:p>
        </w:tc>
      </w:tr>
    </w:tbl>
    <w:p w:rsidR="00506067" w:rsidRPr="00C25A28" w:rsidRDefault="00506067" w:rsidP="00C03EA7">
      <w:pPr>
        <w:spacing w:line="240" w:lineRule="auto"/>
        <w:rPr>
          <w:sz w:val="22"/>
          <w:szCs w:val="22"/>
        </w:rPr>
      </w:pPr>
    </w:p>
    <w:p w:rsidR="007472C3" w:rsidRPr="00C25A28" w:rsidRDefault="00506067" w:rsidP="00C03EA7">
      <w:pPr>
        <w:spacing w:line="240" w:lineRule="auto"/>
        <w:rPr>
          <w:sz w:val="22"/>
          <w:szCs w:val="22"/>
        </w:rPr>
      </w:pPr>
      <w:r w:rsidRPr="00C25A28">
        <w:rPr>
          <w:sz w:val="22"/>
          <w:szCs w:val="22"/>
        </w:rPr>
        <w:t>The day began with the dilemma of how to begin the analysis of such a large amount of data. We needed to ensure that data sets used were consistent, in terms of type and year. For example</w:t>
      </w:r>
      <w:r w:rsidR="00A42222" w:rsidRPr="00C25A28">
        <w:rPr>
          <w:sz w:val="22"/>
          <w:szCs w:val="22"/>
        </w:rPr>
        <w:t>,</w:t>
      </w:r>
      <w:r w:rsidRPr="00C25A28">
        <w:rPr>
          <w:sz w:val="22"/>
          <w:szCs w:val="22"/>
        </w:rPr>
        <w:t xml:space="preserve"> we had participation stat</w:t>
      </w:r>
      <w:r w:rsidR="00A42222" w:rsidRPr="00C25A28">
        <w:rPr>
          <w:sz w:val="22"/>
          <w:szCs w:val="22"/>
        </w:rPr>
        <w:t>istics</w:t>
      </w:r>
      <w:r w:rsidRPr="00C25A28">
        <w:rPr>
          <w:sz w:val="22"/>
          <w:szCs w:val="22"/>
        </w:rPr>
        <w:t xml:space="preserve"> for the NSS 2016, b</w:t>
      </w:r>
      <w:r w:rsidR="00DF1F0A" w:rsidRPr="00C25A28">
        <w:rPr>
          <w:sz w:val="22"/>
          <w:szCs w:val="22"/>
        </w:rPr>
        <w:t>ut only satisfaction score</w:t>
      </w:r>
      <w:r w:rsidR="00A42222" w:rsidRPr="00C25A28">
        <w:rPr>
          <w:sz w:val="22"/>
          <w:szCs w:val="22"/>
        </w:rPr>
        <w:t>s</w:t>
      </w:r>
      <w:r w:rsidR="00DF1F0A" w:rsidRPr="00C25A28">
        <w:rPr>
          <w:sz w:val="22"/>
          <w:szCs w:val="22"/>
        </w:rPr>
        <w:t xml:space="preserve"> for 2015. To ensure consistency was applied to the data analysis we used data f</w:t>
      </w:r>
      <w:r w:rsidR="001653DB" w:rsidRPr="00C25A28">
        <w:rPr>
          <w:sz w:val="22"/>
          <w:szCs w:val="22"/>
        </w:rPr>
        <w:t>ro</w:t>
      </w:r>
      <w:r w:rsidR="00DF1F0A" w:rsidRPr="00C25A28">
        <w:rPr>
          <w:sz w:val="22"/>
          <w:szCs w:val="22"/>
        </w:rPr>
        <w:t>m 2015 as we have reliable data from all sources for this period.</w:t>
      </w:r>
      <w:r w:rsidR="007E3236" w:rsidRPr="00C25A28">
        <w:rPr>
          <w:sz w:val="22"/>
          <w:szCs w:val="22"/>
        </w:rPr>
        <w:t xml:space="preserve"> </w:t>
      </w:r>
      <w:r w:rsidRPr="00C25A28">
        <w:rPr>
          <w:sz w:val="22"/>
          <w:szCs w:val="22"/>
        </w:rPr>
        <w:t>The decision was made to pick NSS participation</w:t>
      </w:r>
      <w:r w:rsidR="00834BCF" w:rsidRPr="00C25A28">
        <w:rPr>
          <w:sz w:val="22"/>
          <w:szCs w:val="22"/>
        </w:rPr>
        <w:t xml:space="preserve"> as the one complete data set</w:t>
      </w:r>
      <w:r w:rsidR="00255DCD" w:rsidRPr="00C25A28">
        <w:rPr>
          <w:sz w:val="22"/>
          <w:szCs w:val="22"/>
        </w:rPr>
        <w:t xml:space="preserve"> with which to determine how to focus our consideration of the rest of the data</w:t>
      </w:r>
      <w:r w:rsidRPr="00C25A28">
        <w:rPr>
          <w:sz w:val="22"/>
          <w:szCs w:val="22"/>
        </w:rPr>
        <w:t xml:space="preserve">. </w:t>
      </w:r>
      <w:r w:rsidR="007472C3" w:rsidRPr="00C25A28">
        <w:rPr>
          <w:sz w:val="22"/>
          <w:szCs w:val="22"/>
        </w:rPr>
        <w:t>To ensure that the sample was manageable the decision was taken to use the top five</w:t>
      </w:r>
      <w:r w:rsidR="005317DA" w:rsidRPr="00C25A28">
        <w:rPr>
          <w:sz w:val="22"/>
          <w:szCs w:val="22"/>
        </w:rPr>
        <w:t xml:space="preserve"> courses </w:t>
      </w:r>
      <w:r w:rsidRPr="00C25A28">
        <w:rPr>
          <w:sz w:val="22"/>
          <w:szCs w:val="22"/>
        </w:rPr>
        <w:t>and the bottom five courses f</w:t>
      </w:r>
      <w:r w:rsidR="00DF1F0A" w:rsidRPr="00C25A28">
        <w:rPr>
          <w:sz w:val="22"/>
          <w:szCs w:val="22"/>
        </w:rPr>
        <w:t xml:space="preserve">or participation in the NSS 2015. </w:t>
      </w:r>
      <w:r w:rsidR="00F0685F" w:rsidRPr="00C25A28">
        <w:rPr>
          <w:sz w:val="22"/>
          <w:szCs w:val="22"/>
        </w:rPr>
        <w:t>Having done this it was</w:t>
      </w:r>
      <w:r w:rsidR="007472C3" w:rsidRPr="00C25A28">
        <w:rPr>
          <w:sz w:val="22"/>
          <w:szCs w:val="22"/>
        </w:rPr>
        <w:t xml:space="preserve"> o</w:t>
      </w:r>
      <w:r w:rsidR="00627CB6" w:rsidRPr="00C25A28">
        <w:rPr>
          <w:sz w:val="22"/>
          <w:szCs w:val="22"/>
        </w:rPr>
        <w:t xml:space="preserve">bserved that these courses </w:t>
      </w:r>
      <w:r w:rsidR="00F0685F" w:rsidRPr="00C25A28">
        <w:rPr>
          <w:sz w:val="22"/>
          <w:szCs w:val="22"/>
        </w:rPr>
        <w:t>had relatively small cohort sizes. To address the potential bias that this might offer and to broaden the scope of the investigation w</w:t>
      </w:r>
      <w:r w:rsidR="00255DCD" w:rsidRPr="00C25A28">
        <w:rPr>
          <w:sz w:val="22"/>
          <w:szCs w:val="22"/>
        </w:rPr>
        <w:t xml:space="preserve">e also included the five most populous courses, whatever their </w:t>
      </w:r>
      <w:r w:rsidR="00F0685F" w:rsidRPr="00C25A28">
        <w:rPr>
          <w:sz w:val="22"/>
          <w:szCs w:val="22"/>
        </w:rPr>
        <w:t xml:space="preserve">NSS </w:t>
      </w:r>
      <w:r w:rsidR="00255DCD" w:rsidRPr="00C25A28">
        <w:rPr>
          <w:sz w:val="22"/>
          <w:szCs w:val="22"/>
        </w:rPr>
        <w:t>participation rates</w:t>
      </w:r>
      <w:r w:rsidR="00F0685F" w:rsidRPr="00C25A28">
        <w:rPr>
          <w:sz w:val="22"/>
          <w:szCs w:val="22"/>
        </w:rPr>
        <w:t>.</w:t>
      </w:r>
    </w:p>
    <w:p w:rsidR="00C25A28" w:rsidRPr="00C25A28" w:rsidRDefault="00C25A28">
      <w:pPr>
        <w:spacing w:line="259" w:lineRule="auto"/>
        <w:rPr>
          <w:iCs/>
          <w:sz w:val="20"/>
          <w:szCs w:val="20"/>
        </w:rPr>
      </w:pPr>
      <w:bookmarkStart w:id="5" w:name="_Ref484443156"/>
      <w:r w:rsidRPr="00C25A28">
        <w:br w:type="page"/>
      </w:r>
    </w:p>
    <w:p w:rsidR="00B02C84" w:rsidRPr="00C25A28" w:rsidRDefault="00B02C84" w:rsidP="00741DA4">
      <w:pPr>
        <w:pStyle w:val="Caption"/>
      </w:pPr>
      <w:r w:rsidRPr="00C25A28">
        <w:lastRenderedPageBreak/>
        <w:t xml:space="preserve">Table </w:t>
      </w:r>
      <w:r w:rsidR="00C52233">
        <w:fldChar w:fldCharType="begin"/>
      </w:r>
      <w:r w:rsidR="00C52233">
        <w:instrText xml:space="preserve"> SEQ Table \* ARABIC </w:instrText>
      </w:r>
      <w:r w:rsidR="00C52233">
        <w:fldChar w:fldCharType="separate"/>
      </w:r>
      <w:r w:rsidRPr="00C25A28">
        <w:rPr>
          <w:noProof/>
        </w:rPr>
        <w:t>3</w:t>
      </w:r>
      <w:r w:rsidR="00C52233">
        <w:rPr>
          <w:noProof/>
        </w:rPr>
        <w:fldChar w:fldCharType="end"/>
      </w:r>
      <w:bookmarkEnd w:id="5"/>
      <w:r w:rsidRPr="00C25A28">
        <w:t>: Snapshot of data sets</w:t>
      </w:r>
      <w:r w:rsidR="00F0685F" w:rsidRPr="00C25A28">
        <w:t xml:space="preserve"> for top five, bottom five and the five</w:t>
      </w:r>
      <w:r w:rsidR="004A5E64" w:rsidRPr="00C25A28">
        <w:t xml:space="preserve"> most populous courses for 2015-16</w:t>
      </w:r>
      <w:r w:rsidR="00153B68" w:rsidRPr="00C25A28">
        <w:t xml:space="preserve"> (averages)</w:t>
      </w:r>
      <w:r w:rsidR="00F0685F" w:rsidRPr="00C25A28">
        <w:t xml:space="preserve">. </w:t>
      </w:r>
    </w:p>
    <w:tbl>
      <w:tblPr>
        <w:tblStyle w:val="TableGrid"/>
        <w:tblW w:w="8784" w:type="dxa"/>
        <w:tblLook w:val="04A0" w:firstRow="1" w:lastRow="0" w:firstColumn="1" w:lastColumn="0" w:noHBand="0" w:noVBand="1"/>
      </w:tblPr>
      <w:tblGrid>
        <w:gridCol w:w="1696"/>
        <w:gridCol w:w="1428"/>
        <w:gridCol w:w="1124"/>
        <w:gridCol w:w="1701"/>
        <w:gridCol w:w="1417"/>
        <w:gridCol w:w="1418"/>
      </w:tblGrid>
      <w:tr w:rsidR="00B02C84" w:rsidRPr="00C25A28" w:rsidTr="00326E86">
        <w:tc>
          <w:tcPr>
            <w:tcW w:w="1696" w:type="dxa"/>
          </w:tcPr>
          <w:p w:rsidR="00B02C84" w:rsidRPr="00C25A28" w:rsidRDefault="00B02C84" w:rsidP="00C03EA7">
            <w:pPr>
              <w:spacing w:line="240" w:lineRule="auto"/>
              <w:rPr>
                <w:b/>
                <w:sz w:val="20"/>
                <w:szCs w:val="20"/>
              </w:rPr>
            </w:pPr>
          </w:p>
        </w:tc>
        <w:tc>
          <w:tcPr>
            <w:tcW w:w="1428" w:type="dxa"/>
          </w:tcPr>
          <w:p w:rsidR="00B02C84" w:rsidRPr="00C25A28" w:rsidRDefault="00EB1278" w:rsidP="00C03EA7">
            <w:pPr>
              <w:spacing w:line="240" w:lineRule="auto"/>
              <w:rPr>
                <w:b/>
                <w:sz w:val="20"/>
                <w:szCs w:val="20"/>
              </w:rPr>
            </w:pPr>
            <w:r w:rsidRPr="00C25A28">
              <w:rPr>
                <w:b/>
                <w:sz w:val="20"/>
                <w:szCs w:val="20"/>
              </w:rPr>
              <w:t xml:space="preserve">NSS Participation </w:t>
            </w:r>
            <w:r w:rsidR="00B02C84" w:rsidRPr="00C25A28">
              <w:rPr>
                <w:b/>
                <w:sz w:val="20"/>
                <w:szCs w:val="20"/>
              </w:rPr>
              <w:t>(%)</w:t>
            </w:r>
          </w:p>
        </w:tc>
        <w:tc>
          <w:tcPr>
            <w:tcW w:w="1124" w:type="dxa"/>
          </w:tcPr>
          <w:p w:rsidR="00B02C84" w:rsidRPr="00C25A28" w:rsidRDefault="00B02C84" w:rsidP="00C03EA7">
            <w:pPr>
              <w:spacing w:line="240" w:lineRule="auto"/>
              <w:rPr>
                <w:b/>
                <w:sz w:val="20"/>
                <w:szCs w:val="20"/>
              </w:rPr>
            </w:pPr>
            <w:r w:rsidRPr="00C25A28">
              <w:rPr>
                <w:b/>
                <w:sz w:val="20"/>
                <w:szCs w:val="20"/>
              </w:rPr>
              <w:t>NSS Q22</w:t>
            </w:r>
          </w:p>
          <w:p w:rsidR="00B02C84" w:rsidRPr="00C25A28" w:rsidRDefault="00B02C84" w:rsidP="00C03EA7">
            <w:pPr>
              <w:spacing w:line="240" w:lineRule="auto"/>
              <w:rPr>
                <w:b/>
                <w:sz w:val="20"/>
                <w:szCs w:val="20"/>
              </w:rPr>
            </w:pPr>
            <w:r w:rsidRPr="00C25A28">
              <w:rPr>
                <w:b/>
                <w:sz w:val="20"/>
                <w:szCs w:val="20"/>
              </w:rPr>
              <w:t>(%)</w:t>
            </w:r>
          </w:p>
        </w:tc>
        <w:tc>
          <w:tcPr>
            <w:tcW w:w="1701" w:type="dxa"/>
          </w:tcPr>
          <w:p w:rsidR="00B02C84" w:rsidRPr="00C25A28" w:rsidRDefault="00EB1278" w:rsidP="00C03EA7">
            <w:pPr>
              <w:spacing w:line="240" w:lineRule="auto"/>
              <w:rPr>
                <w:b/>
                <w:sz w:val="20"/>
                <w:szCs w:val="20"/>
              </w:rPr>
            </w:pPr>
            <w:r w:rsidRPr="00C25A28">
              <w:rPr>
                <w:b/>
                <w:sz w:val="20"/>
                <w:szCs w:val="20"/>
              </w:rPr>
              <w:t xml:space="preserve">UG </w:t>
            </w:r>
            <w:r w:rsidR="00B02C84" w:rsidRPr="00C25A28">
              <w:rPr>
                <w:b/>
                <w:sz w:val="20"/>
                <w:szCs w:val="20"/>
              </w:rPr>
              <w:t>Progression (% of cohort)</w:t>
            </w:r>
          </w:p>
        </w:tc>
        <w:tc>
          <w:tcPr>
            <w:tcW w:w="1417" w:type="dxa"/>
          </w:tcPr>
          <w:p w:rsidR="00B02C84" w:rsidRPr="00C25A28" w:rsidRDefault="00B02C84" w:rsidP="00C03EA7">
            <w:pPr>
              <w:spacing w:line="240" w:lineRule="auto"/>
              <w:rPr>
                <w:b/>
                <w:sz w:val="20"/>
                <w:szCs w:val="20"/>
              </w:rPr>
            </w:pPr>
            <w:r w:rsidRPr="00C25A28">
              <w:rPr>
                <w:b/>
                <w:sz w:val="20"/>
                <w:szCs w:val="20"/>
              </w:rPr>
              <w:t>Top degree</w:t>
            </w:r>
          </w:p>
          <w:p w:rsidR="00B02C84" w:rsidRPr="00C25A28" w:rsidRDefault="00B02C84" w:rsidP="00C03EA7">
            <w:pPr>
              <w:spacing w:line="240" w:lineRule="auto"/>
              <w:rPr>
                <w:b/>
                <w:sz w:val="20"/>
                <w:szCs w:val="20"/>
              </w:rPr>
            </w:pPr>
            <w:r w:rsidRPr="00C25A28">
              <w:rPr>
                <w:b/>
                <w:sz w:val="20"/>
                <w:szCs w:val="20"/>
              </w:rPr>
              <w:t>(% of cohort)</w:t>
            </w:r>
          </w:p>
        </w:tc>
        <w:tc>
          <w:tcPr>
            <w:tcW w:w="1418" w:type="dxa"/>
          </w:tcPr>
          <w:p w:rsidR="00B02C84" w:rsidRPr="00C25A28" w:rsidRDefault="00B02C84" w:rsidP="00C03EA7">
            <w:pPr>
              <w:spacing w:line="240" w:lineRule="auto"/>
              <w:rPr>
                <w:b/>
                <w:sz w:val="20"/>
                <w:szCs w:val="20"/>
              </w:rPr>
            </w:pPr>
            <w:r w:rsidRPr="00C25A28">
              <w:rPr>
                <w:b/>
                <w:sz w:val="20"/>
                <w:szCs w:val="20"/>
              </w:rPr>
              <w:t>Withdrawals (% of cohort)</w:t>
            </w:r>
          </w:p>
        </w:tc>
      </w:tr>
      <w:tr w:rsidR="00B02C84" w:rsidRPr="00C25A28" w:rsidTr="00326E86">
        <w:tc>
          <w:tcPr>
            <w:tcW w:w="1696" w:type="dxa"/>
          </w:tcPr>
          <w:p w:rsidR="00B02C84" w:rsidRPr="00C25A28" w:rsidRDefault="00F0685F" w:rsidP="00C03EA7">
            <w:pPr>
              <w:spacing w:line="240" w:lineRule="auto"/>
              <w:rPr>
                <w:b/>
                <w:sz w:val="20"/>
                <w:szCs w:val="20"/>
              </w:rPr>
            </w:pPr>
            <w:r w:rsidRPr="00C25A28">
              <w:rPr>
                <w:b/>
                <w:sz w:val="20"/>
                <w:szCs w:val="20"/>
              </w:rPr>
              <w:t>Top five</w:t>
            </w:r>
          </w:p>
        </w:tc>
        <w:tc>
          <w:tcPr>
            <w:tcW w:w="1428" w:type="dxa"/>
          </w:tcPr>
          <w:p w:rsidR="00B02C84" w:rsidRPr="00C25A28" w:rsidRDefault="00B02C84" w:rsidP="00C03EA7">
            <w:pPr>
              <w:spacing w:line="240" w:lineRule="auto"/>
              <w:rPr>
                <w:sz w:val="20"/>
                <w:szCs w:val="20"/>
              </w:rPr>
            </w:pPr>
            <w:r w:rsidRPr="00C25A28">
              <w:rPr>
                <w:sz w:val="20"/>
                <w:szCs w:val="20"/>
              </w:rPr>
              <w:t>100</w:t>
            </w:r>
          </w:p>
        </w:tc>
        <w:tc>
          <w:tcPr>
            <w:tcW w:w="1124" w:type="dxa"/>
          </w:tcPr>
          <w:p w:rsidR="00B02C84" w:rsidRPr="00C25A28" w:rsidRDefault="00B02C84" w:rsidP="00C03EA7">
            <w:pPr>
              <w:spacing w:line="240" w:lineRule="auto"/>
              <w:rPr>
                <w:sz w:val="20"/>
                <w:szCs w:val="20"/>
              </w:rPr>
            </w:pPr>
            <w:r w:rsidRPr="00C25A28">
              <w:rPr>
                <w:sz w:val="20"/>
                <w:szCs w:val="20"/>
              </w:rPr>
              <w:t>71.4</w:t>
            </w:r>
          </w:p>
        </w:tc>
        <w:tc>
          <w:tcPr>
            <w:tcW w:w="1701" w:type="dxa"/>
          </w:tcPr>
          <w:p w:rsidR="00B02C84" w:rsidRPr="00C25A28" w:rsidRDefault="00B02C84" w:rsidP="00C03EA7">
            <w:pPr>
              <w:spacing w:line="240" w:lineRule="auto"/>
              <w:rPr>
                <w:sz w:val="20"/>
                <w:szCs w:val="20"/>
              </w:rPr>
            </w:pPr>
            <w:r w:rsidRPr="00C25A28">
              <w:rPr>
                <w:sz w:val="20"/>
                <w:szCs w:val="20"/>
              </w:rPr>
              <w:t>92</w:t>
            </w:r>
          </w:p>
        </w:tc>
        <w:tc>
          <w:tcPr>
            <w:tcW w:w="1417" w:type="dxa"/>
          </w:tcPr>
          <w:p w:rsidR="00B02C84" w:rsidRPr="00C25A28" w:rsidRDefault="00B02C84" w:rsidP="00C03EA7">
            <w:pPr>
              <w:spacing w:line="240" w:lineRule="auto"/>
              <w:rPr>
                <w:sz w:val="20"/>
                <w:szCs w:val="20"/>
              </w:rPr>
            </w:pPr>
            <w:r w:rsidRPr="00C25A28">
              <w:rPr>
                <w:sz w:val="20"/>
                <w:szCs w:val="20"/>
              </w:rPr>
              <w:t>55</w:t>
            </w:r>
          </w:p>
        </w:tc>
        <w:tc>
          <w:tcPr>
            <w:tcW w:w="1418" w:type="dxa"/>
          </w:tcPr>
          <w:p w:rsidR="00B02C84" w:rsidRPr="00C25A28" w:rsidRDefault="00B02C84" w:rsidP="00C03EA7">
            <w:pPr>
              <w:spacing w:line="240" w:lineRule="auto"/>
              <w:rPr>
                <w:sz w:val="20"/>
                <w:szCs w:val="20"/>
              </w:rPr>
            </w:pPr>
            <w:r w:rsidRPr="00C25A28">
              <w:rPr>
                <w:sz w:val="20"/>
                <w:szCs w:val="20"/>
              </w:rPr>
              <w:t>6</w:t>
            </w:r>
          </w:p>
        </w:tc>
      </w:tr>
      <w:tr w:rsidR="00B02C84" w:rsidRPr="00C25A28" w:rsidTr="00326E86">
        <w:tc>
          <w:tcPr>
            <w:tcW w:w="1696" w:type="dxa"/>
          </w:tcPr>
          <w:p w:rsidR="00B02C84" w:rsidRPr="00C25A28" w:rsidRDefault="00F0685F" w:rsidP="00C03EA7">
            <w:pPr>
              <w:spacing w:line="240" w:lineRule="auto"/>
              <w:rPr>
                <w:b/>
                <w:sz w:val="20"/>
                <w:szCs w:val="20"/>
              </w:rPr>
            </w:pPr>
            <w:r w:rsidRPr="00C25A28">
              <w:rPr>
                <w:b/>
                <w:sz w:val="20"/>
                <w:szCs w:val="20"/>
              </w:rPr>
              <w:t>Bottom five</w:t>
            </w:r>
          </w:p>
        </w:tc>
        <w:tc>
          <w:tcPr>
            <w:tcW w:w="1428" w:type="dxa"/>
          </w:tcPr>
          <w:p w:rsidR="00B02C84" w:rsidRPr="00C25A28" w:rsidRDefault="00B02C84" w:rsidP="00C03EA7">
            <w:pPr>
              <w:spacing w:line="240" w:lineRule="auto"/>
              <w:rPr>
                <w:sz w:val="20"/>
                <w:szCs w:val="20"/>
              </w:rPr>
            </w:pPr>
            <w:r w:rsidRPr="00C25A28">
              <w:rPr>
                <w:sz w:val="20"/>
                <w:szCs w:val="20"/>
              </w:rPr>
              <w:t>55.4</w:t>
            </w:r>
          </w:p>
        </w:tc>
        <w:tc>
          <w:tcPr>
            <w:tcW w:w="1124" w:type="dxa"/>
          </w:tcPr>
          <w:p w:rsidR="00B02C84" w:rsidRPr="00C25A28" w:rsidRDefault="00B02C84" w:rsidP="00C03EA7">
            <w:pPr>
              <w:spacing w:line="240" w:lineRule="auto"/>
              <w:rPr>
                <w:sz w:val="20"/>
                <w:szCs w:val="20"/>
              </w:rPr>
            </w:pPr>
            <w:r w:rsidRPr="00C25A28">
              <w:rPr>
                <w:sz w:val="20"/>
                <w:szCs w:val="20"/>
              </w:rPr>
              <w:t>80.6</w:t>
            </w:r>
          </w:p>
        </w:tc>
        <w:tc>
          <w:tcPr>
            <w:tcW w:w="1701" w:type="dxa"/>
          </w:tcPr>
          <w:p w:rsidR="00B02C84" w:rsidRPr="00C25A28" w:rsidRDefault="00B02C84" w:rsidP="00C03EA7">
            <w:pPr>
              <w:spacing w:line="240" w:lineRule="auto"/>
              <w:rPr>
                <w:sz w:val="20"/>
                <w:szCs w:val="20"/>
              </w:rPr>
            </w:pPr>
            <w:r w:rsidRPr="00C25A28">
              <w:rPr>
                <w:sz w:val="20"/>
                <w:szCs w:val="20"/>
              </w:rPr>
              <w:t>80</w:t>
            </w:r>
          </w:p>
        </w:tc>
        <w:tc>
          <w:tcPr>
            <w:tcW w:w="1417" w:type="dxa"/>
          </w:tcPr>
          <w:p w:rsidR="00B02C84" w:rsidRPr="00C25A28" w:rsidRDefault="00B02C84" w:rsidP="00C03EA7">
            <w:pPr>
              <w:spacing w:line="240" w:lineRule="auto"/>
              <w:rPr>
                <w:sz w:val="20"/>
                <w:szCs w:val="20"/>
              </w:rPr>
            </w:pPr>
            <w:r w:rsidRPr="00C25A28">
              <w:rPr>
                <w:sz w:val="20"/>
                <w:szCs w:val="20"/>
              </w:rPr>
              <w:t>42</w:t>
            </w:r>
          </w:p>
        </w:tc>
        <w:tc>
          <w:tcPr>
            <w:tcW w:w="1418" w:type="dxa"/>
          </w:tcPr>
          <w:p w:rsidR="00B02C84" w:rsidRPr="00C25A28" w:rsidRDefault="00B02C84" w:rsidP="00C03EA7">
            <w:pPr>
              <w:spacing w:line="240" w:lineRule="auto"/>
              <w:rPr>
                <w:sz w:val="20"/>
                <w:szCs w:val="20"/>
              </w:rPr>
            </w:pPr>
            <w:r w:rsidRPr="00C25A28">
              <w:rPr>
                <w:sz w:val="20"/>
                <w:szCs w:val="20"/>
              </w:rPr>
              <w:t>17</w:t>
            </w:r>
          </w:p>
        </w:tc>
      </w:tr>
      <w:tr w:rsidR="00B02C84" w:rsidRPr="00C25A28" w:rsidTr="00326E86">
        <w:tc>
          <w:tcPr>
            <w:tcW w:w="1696" w:type="dxa"/>
          </w:tcPr>
          <w:p w:rsidR="00B02C84" w:rsidRPr="00C25A28" w:rsidRDefault="00B02C84" w:rsidP="00C03EA7">
            <w:pPr>
              <w:spacing w:line="240" w:lineRule="auto"/>
              <w:rPr>
                <w:b/>
                <w:sz w:val="20"/>
                <w:szCs w:val="20"/>
              </w:rPr>
            </w:pPr>
            <w:r w:rsidRPr="00C25A28">
              <w:rPr>
                <w:b/>
                <w:sz w:val="20"/>
                <w:szCs w:val="20"/>
              </w:rPr>
              <w:t>Most populous</w:t>
            </w:r>
          </w:p>
        </w:tc>
        <w:tc>
          <w:tcPr>
            <w:tcW w:w="1428" w:type="dxa"/>
          </w:tcPr>
          <w:p w:rsidR="00B02C84" w:rsidRPr="00C25A28" w:rsidRDefault="00B02C84" w:rsidP="00C03EA7">
            <w:pPr>
              <w:spacing w:line="240" w:lineRule="auto"/>
              <w:rPr>
                <w:sz w:val="20"/>
                <w:szCs w:val="20"/>
              </w:rPr>
            </w:pPr>
            <w:r w:rsidRPr="00C25A28">
              <w:rPr>
                <w:sz w:val="20"/>
                <w:szCs w:val="20"/>
              </w:rPr>
              <w:t>67.2</w:t>
            </w:r>
          </w:p>
        </w:tc>
        <w:tc>
          <w:tcPr>
            <w:tcW w:w="1124" w:type="dxa"/>
          </w:tcPr>
          <w:p w:rsidR="00B02C84" w:rsidRPr="00C25A28" w:rsidRDefault="00B02C84" w:rsidP="00C03EA7">
            <w:pPr>
              <w:spacing w:line="240" w:lineRule="auto"/>
              <w:rPr>
                <w:sz w:val="20"/>
                <w:szCs w:val="20"/>
              </w:rPr>
            </w:pPr>
            <w:r w:rsidRPr="00C25A28">
              <w:rPr>
                <w:sz w:val="20"/>
                <w:szCs w:val="20"/>
              </w:rPr>
              <w:t>87.4</w:t>
            </w:r>
          </w:p>
        </w:tc>
        <w:tc>
          <w:tcPr>
            <w:tcW w:w="1701" w:type="dxa"/>
          </w:tcPr>
          <w:p w:rsidR="00B02C84" w:rsidRPr="00C25A28" w:rsidRDefault="00B02C84" w:rsidP="00C03EA7">
            <w:pPr>
              <w:spacing w:line="240" w:lineRule="auto"/>
              <w:rPr>
                <w:sz w:val="20"/>
                <w:szCs w:val="20"/>
              </w:rPr>
            </w:pPr>
            <w:r w:rsidRPr="00C25A28">
              <w:rPr>
                <w:sz w:val="20"/>
                <w:szCs w:val="20"/>
              </w:rPr>
              <w:t>93</w:t>
            </w:r>
          </w:p>
        </w:tc>
        <w:tc>
          <w:tcPr>
            <w:tcW w:w="1417" w:type="dxa"/>
          </w:tcPr>
          <w:p w:rsidR="00B02C84" w:rsidRPr="00C25A28" w:rsidRDefault="00B02C84" w:rsidP="00C03EA7">
            <w:pPr>
              <w:spacing w:line="240" w:lineRule="auto"/>
              <w:rPr>
                <w:sz w:val="20"/>
                <w:szCs w:val="20"/>
              </w:rPr>
            </w:pPr>
            <w:r w:rsidRPr="00C25A28">
              <w:rPr>
                <w:sz w:val="20"/>
                <w:szCs w:val="20"/>
              </w:rPr>
              <w:t>55</w:t>
            </w:r>
          </w:p>
        </w:tc>
        <w:tc>
          <w:tcPr>
            <w:tcW w:w="1418" w:type="dxa"/>
          </w:tcPr>
          <w:p w:rsidR="00B02C84" w:rsidRPr="00C25A28" w:rsidRDefault="00B02C84" w:rsidP="00C03EA7">
            <w:pPr>
              <w:spacing w:line="240" w:lineRule="auto"/>
              <w:rPr>
                <w:sz w:val="20"/>
                <w:szCs w:val="20"/>
              </w:rPr>
            </w:pPr>
            <w:r w:rsidRPr="00C25A28">
              <w:rPr>
                <w:sz w:val="20"/>
                <w:szCs w:val="20"/>
              </w:rPr>
              <w:t>5</w:t>
            </w:r>
          </w:p>
        </w:tc>
      </w:tr>
    </w:tbl>
    <w:p w:rsidR="00B32455" w:rsidRPr="00C25A28" w:rsidRDefault="00B32455" w:rsidP="00C03EA7">
      <w:pPr>
        <w:spacing w:line="240" w:lineRule="auto"/>
        <w:rPr>
          <w:sz w:val="22"/>
          <w:szCs w:val="22"/>
        </w:rPr>
      </w:pPr>
    </w:p>
    <w:p w:rsidR="00993A73" w:rsidRPr="00C25A28" w:rsidRDefault="0092010D" w:rsidP="00C03EA7">
      <w:pPr>
        <w:spacing w:line="240" w:lineRule="auto"/>
        <w:rPr>
          <w:sz w:val="22"/>
          <w:szCs w:val="22"/>
        </w:rPr>
      </w:pPr>
      <w:r w:rsidRPr="00C25A28">
        <w:rPr>
          <w:sz w:val="22"/>
          <w:szCs w:val="22"/>
        </w:rPr>
        <w:t xml:space="preserve">It is difficult to draw </w:t>
      </w:r>
      <w:r w:rsidR="00993A73" w:rsidRPr="00C25A28">
        <w:rPr>
          <w:sz w:val="22"/>
          <w:szCs w:val="22"/>
        </w:rPr>
        <w:t xml:space="preserve">firm </w:t>
      </w:r>
      <w:r w:rsidRPr="00C25A28">
        <w:rPr>
          <w:sz w:val="22"/>
          <w:szCs w:val="22"/>
        </w:rPr>
        <w:t>conclusions from a single snapshot</w:t>
      </w:r>
      <w:r w:rsidR="002422F5" w:rsidRPr="00C25A28">
        <w:rPr>
          <w:sz w:val="22"/>
          <w:szCs w:val="22"/>
        </w:rPr>
        <w:t xml:space="preserve"> of such complex and disparate data sets and we will certainly be carrying out a similar exercise for the year 2016-17 to see if any </w:t>
      </w:r>
      <w:r w:rsidR="00B90051" w:rsidRPr="00C25A28">
        <w:rPr>
          <w:sz w:val="22"/>
          <w:szCs w:val="22"/>
        </w:rPr>
        <w:t xml:space="preserve">longitudinal </w:t>
      </w:r>
      <w:r w:rsidR="00F0685F" w:rsidRPr="00C25A28">
        <w:rPr>
          <w:sz w:val="22"/>
          <w:szCs w:val="22"/>
        </w:rPr>
        <w:t>patterns emerge. However, t</w:t>
      </w:r>
      <w:r w:rsidR="002422F5" w:rsidRPr="00C25A28">
        <w:rPr>
          <w:sz w:val="22"/>
          <w:szCs w:val="22"/>
        </w:rPr>
        <w:t>here seem</w:t>
      </w:r>
      <w:r w:rsidR="00993A73" w:rsidRPr="00C25A28">
        <w:rPr>
          <w:sz w:val="22"/>
          <w:szCs w:val="22"/>
        </w:rPr>
        <w:t>s</w:t>
      </w:r>
      <w:r w:rsidR="002422F5" w:rsidRPr="00C25A28">
        <w:rPr>
          <w:sz w:val="22"/>
          <w:szCs w:val="22"/>
        </w:rPr>
        <w:t xml:space="preserve"> to be an indication that the less engaged (measure</w:t>
      </w:r>
      <w:r w:rsidR="00993A73" w:rsidRPr="00C25A28">
        <w:rPr>
          <w:sz w:val="22"/>
          <w:szCs w:val="22"/>
        </w:rPr>
        <w:t>d</w:t>
      </w:r>
      <w:r w:rsidR="002422F5" w:rsidRPr="00C25A28">
        <w:rPr>
          <w:sz w:val="22"/>
          <w:szCs w:val="22"/>
        </w:rPr>
        <w:t xml:space="preserve"> by NSS participation) were less likely to progress in their degree courses and receive a </w:t>
      </w:r>
      <w:r w:rsidR="00153B68" w:rsidRPr="00C25A28">
        <w:rPr>
          <w:sz w:val="22"/>
          <w:szCs w:val="22"/>
        </w:rPr>
        <w:t>‘top’ (</w:t>
      </w:r>
      <w:r w:rsidR="002422F5" w:rsidRPr="00C25A28">
        <w:rPr>
          <w:sz w:val="22"/>
          <w:szCs w:val="22"/>
        </w:rPr>
        <w:t xml:space="preserve">First or </w:t>
      </w:r>
      <w:r w:rsidR="00EC7E45" w:rsidRPr="00C25A28">
        <w:rPr>
          <w:sz w:val="22"/>
          <w:szCs w:val="22"/>
        </w:rPr>
        <w:t>Upper</w:t>
      </w:r>
      <w:r w:rsidR="002422F5" w:rsidRPr="00C25A28">
        <w:rPr>
          <w:sz w:val="22"/>
          <w:szCs w:val="22"/>
        </w:rPr>
        <w:t xml:space="preserve"> Second Class</w:t>
      </w:r>
      <w:r w:rsidR="00EC7E45" w:rsidRPr="00C25A28">
        <w:rPr>
          <w:sz w:val="22"/>
          <w:szCs w:val="22"/>
        </w:rPr>
        <w:t>)</w:t>
      </w:r>
      <w:r w:rsidR="002422F5" w:rsidRPr="00C25A28">
        <w:rPr>
          <w:sz w:val="22"/>
          <w:szCs w:val="22"/>
        </w:rPr>
        <w:t xml:space="preserve"> degree and </w:t>
      </w:r>
      <w:r w:rsidR="00153B68" w:rsidRPr="00C25A28">
        <w:rPr>
          <w:sz w:val="22"/>
          <w:szCs w:val="22"/>
        </w:rPr>
        <w:t xml:space="preserve">were </w:t>
      </w:r>
      <w:r w:rsidR="002422F5" w:rsidRPr="00C25A28">
        <w:rPr>
          <w:sz w:val="22"/>
          <w:szCs w:val="22"/>
        </w:rPr>
        <w:t>more likely to withdraw from their courses</w:t>
      </w:r>
      <w:r w:rsidR="00E6578A" w:rsidRPr="00C25A28">
        <w:rPr>
          <w:sz w:val="22"/>
          <w:szCs w:val="22"/>
        </w:rPr>
        <w:t xml:space="preserve"> than the top five</w:t>
      </w:r>
      <w:r w:rsidR="00F0685F" w:rsidRPr="00C25A28">
        <w:rPr>
          <w:sz w:val="22"/>
          <w:szCs w:val="22"/>
        </w:rPr>
        <w:t xml:space="preserve"> and most populous courses</w:t>
      </w:r>
      <w:r w:rsidR="002422F5" w:rsidRPr="00C25A28">
        <w:rPr>
          <w:sz w:val="22"/>
          <w:szCs w:val="22"/>
        </w:rPr>
        <w:t xml:space="preserve">. </w:t>
      </w:r>
      <w:r w:rsidR="00F0685F" w:rsidRPr="00C25A28">
        <w:rPr>
          <w:sz w:val="22"/>
          <w:szCs w:val="22"/>
        </w:rPr>
        <w:t xml:space="preserve">Question 22 in the NSS measures “overall satisfaction” and rates student satisfaction with the quality of their course as a whole. </w:t>
      </w:r>
      <w:r w:rsidR="002422F5" w:rsidRPr="00C25A28">
        <w:rPr>
          <w:sz w:val="22"/>
          <w:szCs w:val="22"/>
        </w:rPr>
        <w:t xml:space="preserve">Interestingly, </w:t>
      </w:r>
      <w:r w:rsidR="00E6578A" w:rsidRPr="00C25A28">
        <w:rPr>
          <w:sz w:val="22"/>
          <w:szCs w:val="22"/>
        </w:rPr>
        <w:t xml:space="preserve">NSS </w:t>
      </w:r>
      <w:r w:rsidR="002422F5" w:rsidRPr="00C25A28">
        <w:rPr>
          <w:sz w:val="22"/>
          <w:szCs w:val="22"/>
        </w:rPr>
        <w:t>participation rates did not seem to correl</w:t>
      </w:r>
      <w:r w:rsidR="00C76351" w:rsidRPr="00C25A28">
        <w:rPr>
          <w:sz w:val="22"/>
          <w:szCs w:val="22"/>
        </w:rPr>
        <w:t xml:space="preserve">ate with responses to this measure (see </w:t>
      </w:r>
      <w:r w:rsidR="00C76351" w:rsidRPr="00C25A28">
        <w:rPr>
          <w:sz w:val="22"/>
          <w:szCs w:val="22"/>
        </w:rPr>
        <w:fldChar w:fldCharType="begin"/>
      </w:r>
      <w:r w:rsidR="00C76351" w:rsidRPr="00C25A28">
        <w:rPr>
          <w:sz w:val="22"/>
          <w:szCs w:val="22"/>
        </w:rPr>
        <w:instrText xml:space="preserve"> REF _Ref484443156 \h </w:instrText>
      </w:r>
      <w:r w:rsidR="00C03EA7" w:rsidRPr="00C25A28">
        <w:rPr>
          <w:sz w:val="22"/>
          <w:szCs w:val="22"/>
        </w:rPr>
        <w:instrText xml:space="preserve"> \* MERGEFORMAT </w:instrText>
      </w:r>
      <w:r w:rsidR="00C76351" w:rsidRPr="00C25A28">
        <w:rPr>
          <w:sz w:val="22"/>
          <w:szCs w:val="22"/>
        </w:rPr>
      </w:r>
      <w:r w:rsidR="00C76351" w:rsidRPr="00C25A28">
        <w:rPr>
          <w:sz w:val="22"/>
          <w:szCs w:val="22"/>
        </w:rPr>
        <w:fldChar w:fldCharType="separate"/>
      </w:r>
      <w:r w:rsidR="00C76351" w:rsidRPr="00C25A28">
        <w:rPr>
          <w:sz w:val="22"/>
          <w:szCs w:val="22"/>
        </w:rPr>
        <w:t xml:space="preserve">Table </w:t>
      </w:r>
      <w:r w:rsidR="00C76351" w:rsidRPr="00C25A28">
        <w:rPr>
          <w:noProof/>
          <w:sz w:val="22"/>
          <w:szCs w:val="22"/>
        </w:rPr>
        <w:t>3</w:t>
      </w:r>
      <w:r w:rsidR="00C76351" w:rsidRPr="00C25A28">
        <w:rPr>
          <w:sz w:val="22"/>
          <w:szCs w:val="22"/>
        </w:rPr>
        <w:fldChar w:fldCharType="end"/>
      </w:r>
      <w:r w:rsidR="00C76351" w:rsidRPr="00C25A28">
        <w:rPr>
          <w:sz w:val="22"/>
          <w:szCs w:val="22"/>
        </w:rPr>
        <w:t>)</w:t>
      </w:r>
      <w:r w:rsidR="00E6578A" w:rsidRPr="00C25A28">
        <w:rPr>
          <w:sz w:val="22"/>
          <w:szCs w:val="22"/>
        </w:rPr>
        <w:t xml:space="preserve">, indicating that high NSS participation may result </w:t>
      </w:r>
      <w:r w:rsidR="00993A73" w:rsidRPr="00C25A28">
        <w:rPr>
          <w:sz w:val="22"/>
          <w:szCs w:val="22"/>
        </w:rPr>
        <w:t xml:space="preserve">as much </w:t>
      </w:r>
      <w:r w:rsidR="00E6578A" w:rsidRPr="00C25A28">
        <w:rPr>
          <w:sz w:val="22"/>
          <w:szCs w:val="22"/>
        </w:rPr>
        <w:t xml:space="preserve">from students’ dissatisfaction with </w:t>
      </w:r>
      <w:r w:rsidR="00153B68" w:rsidRPr="00C25A28">
        <w:rPr>
          <w:sz w:val="22"/>
          <w:szCs w:val="22"/>
        </w:rPr>
        <w:t xml:space="preserve">aspects of </w:t>
      </w:r>
      <w:r w:rsidR="00E6578A" w:rsidRPr="00C25A28">
        <w:rPr>
          <w:sz w:val="22"/>
          <w:szCs w:val="22"/>
        </w:rPr>
        <w:t>their courses</w:t>
      </w:r>
      <w:r w:rsidR="00993A73" w:rsidRPr="00C25A28">
        <w:rPr>
          <w:sz w:val="22"/>
          <w:szCs w:val="22"/>
        </w:rPr>
        <w:t xml:space="preserve"> as from satisfaction</w:t>
      </w:r>
      <w:r w:rsidR="00E6578A" w:rsidRPr="00C25A28">
        <w:rPr>
          <w:sz w:val="22"/>
          <w:szCs w:val="22"/>
        </w:rPr>
        <w:t xml:space="preserve">. We nevertheless consider this a healthy indication of student engagement with the processes of the university. </w:t>
      </w:r>
    </w:p>
    <w:p w:rsidR="00DB2CFE" w:rsidRPr="00C25A28" w:rsidRDefault="00153B68" w:rsidP="00C03EA7">
      <w:pPr>
        <w:spacing w:line="240" w:lineRule="auto"/>
        <w:rPr>
          <w:sz w:val="22"/>
          <w:szCs w:val="22"/>
        </w:rPr>
      </w:pPr>
      <w:r w:rsidRPr="00C25A28">
        <w:rPr>
          <w:sz w:val="22"/>
          <w:szCs w:val="22"/>
        </w:rPr>
        <w:t>When other data</w:t>
      </w:r>
      <w:r w:rsidR="00EC7E45" w:rsidRPr="00C25A28">
        <w:rPr>
          <w:sz w:val="22"/>
          <w:szCs w:val="22"/>
        </w:rPr>
        <w:t xml:space="preserve"> was considered</w:t>
      </w:r>
      <w:r w:rsidR="00C76351" w:rsidRPr="00C25A28">
        <w:rPr>
          <w:sz w:val="22"/>
          <w:szCs w:val="22"/>
        </w:rPr>
        <w:t xml:space="preserve"> alongside that in table 3, including Student Union Society and Student Representation activity and engagement with the Learning Development Unit (see </w:t>
      </w:r>
      <w:r w:rsidR="00C76351" w:rsidRPr="00C25A28">
        <w:rPr>
          <w:sz w:val="22"/>
          <w:szCs w:val="22"/>
        </w:rPr>
        <w:fldChar w:fldCharType="begin"/>
      </w:r>
      <w:r w:rsidR="00C76351" w:rsidRPr="00C25A28">
        <w:rPr>
          <w:sz w:val="22"/>
          <w:szCs w:val="22"/>
        </w:rPr>
        <w:instrText xml:space="preserve"> REF _Ref482174608 \h </w:instrText>
      </w:r>
      <w:r w:rsidR="00C03EA7" w:rsidRPr="00C25A28">
        <w:rPr>
          <w:sz w:val="22"/>
          <w:szCs w:val="22"/>
        </w:rPr>
        <w:instrText xml:space="preserve"> \* MERGEFORMAT </w:instrText>
      </w:r>
      <w:r w:rsidR="00C76351" w:rsidRPr="00C25A28">
        <w:rPr>
          <w:sz w:val="22"/>
          <w:szCs w:val="22"/>
        </w:rPr>
      </w:r>
      <w:r w:rsidR="00C76351" w:rsidRPr="00C25A28">
        <w:rPr>
          <w:sz w:val="22"/>
          <w:szCs w:val="22"/>
        </w:rPr>
        <w:fldChar w:fldCharType="separate"/>
      </w:r>
      <w:r w:rsidR="00C76351" w:rsidRPr="00C25A28">
        <w:rPr>
          <w:sz w:val="22"/>
          <w:szCs w:val="22"/>
        </w:rPr>
        <w:t xml:space="preserve">Table </w:t>
      </w:r>
      <w:r w:rsidR="00C76351" w:rsidRPr="00C25A28">
        <w:rPr>
          <w:noProof/>
          <w:sz w:val="22"/>
          <w:szCs w:val="22"/>
        </w:rPr>
        <w:t>2</w:t>
      </w:r>
      <w:r w:rsidR="00C76351" w:rsidRPr="00C25A28">
        <w:rPr>
          <w:sz w:val="22"/>
          <w:szCs w:val="22"/>
        </w:rPr>
        <w:fldChar w:fldCharType="end"/>
      </w:r>
      <w:r w:rsidR="00C76351" w:rsidRPr="00C25A28">
        <w:rPr>
          <w:sz w:val="22"/>
          <w:szCs w:val="22"/>
        </w:rPr>
        <w:t xml:space="preserve">), a </w:t>
      </w:r>
      <w:r w:rsidRPr="00C25A28">
        <w:rPr>
          <w:sz w:val="22"/>
          <w:szCs w:val="22"/>
        </w:rPr>
        <w:t>more compelling picture arose.</w:t>
      </w:r>
      <w:r w:rsidR="00EC7E45" w:rsidRPr="00C25A28">
        <w:rPr>
          <w:sz w:val="22"/>
          <w:szCs w:val="22"/>
        </w:rPr>
        <w:t xml:space="preserve"> Students in the lower group, for example, were much less likely to have been involved in Students’ Union activities </w:t>
      </w:r>
      <w:r w:rsidR="00E9430A" w:rsidRPr="00C25A28">
        <w:rPr>
          <w:sz w:val="22"/>
          <w:szCs w:val="22"/>
        </w:rPr>
        <w:t xml:space="preserve">and societies, </w:t>
      </w:r>
      <w:r w:rsidR="00EC7E45" w:rsidRPr="00C25A28">
        <w:rPr>
          <w:sz w:val="22"/>
          <w:szCs w:val="22"/>
        </w:rPr>
        <w:t xml:space="preserve">or </w:t>
      </w:r>
      <w:r w:rsidR="00E9430A" w:rsidRPr="00C25A28">
        <w:rPr>
          <w:sz w:val="22"/>
          <w:szCs w:val="22"/>
        </w:rPr>
        <w:t xml:space="preserve">to </w:t>
      </w:r>
      <w:r w:rsidR="00EC7E45" w:rsidRPr="00C25A28">
        <w:rPr>
          <w:sz w:val="22"/>
          <w:szCs w:val="22"/>
        </w:rPr>
        <w:t>have engaged in the student representation system</w:t>
      </w:r>
      <w:r w:rsidR="00993A73" w:rsidRPr="00C25A28">
        <w:rPr>
          <w:sz w:val="22"/>
          <w:szCs w:val="22"/>
        </w:rPr>
        <w:t>,</w:t>
      </w:r>
      <w:r w:rsidR="00EC7E45" w:rsidRPr="00C25A28">
        <w:rPr>
          <w:sz w:val="22"/>
          <w:szCs w:val="22"/>
        </w:rPr>
        <w:t xml:space="preserve"> and </w:t>
      </w:r>
      <w:r w:rsidR="00993A73" w:rsidRPr="00C25A28">
        <w:rPr>
          <w:sz w:val="22"/>
          <w:szCs w:val="22"/>
        </w:rPr>
        <w:t>were less likely to have made use of the university’</w:t>
      </w:r>
      <w:r w:rsidR="00E9430A" w:rsidRPr="00C25A28">
        <w:rPr>
          <w:sz w:val="22"/>
          <w:szCs w:val="22"/>
        </w:rPr>
        <w:t>s L</w:t>
      </w:r>
      <w:r w:rsidR="00993A73" w:rsidRPr="00C25A28">
        <w:rPr>
          <w:sz w:val="22"/>
          <w:szCs w:val="22"/>
        </w:rPr>
        <w:t xml:space="preserve">earning </w:t>
      </w:r>
      <w:r w:rsidR="00E9430A" w:rsidRPr="00C25A28">
        <w:rPr>
          <w:sz w:val="22"/>
          <w:szCs w:val="22"/>
        </w:rPr>
        <w:t>D</w:t>
      </w:r>
      <w:r w:rsidR="00993A73" w:rsidRPr="00C25A28">
        <w:rPr>
          <w:sz w:val="22"/>
          <w:szCs w:val="22"/>
        </w:rPr>
        <w:t xml:space="preserve">evelopment </w:t>
      </w:r>
      <w:r w:rsidR="00E9430A" w:rsidRPr="00C25A28">
        <w:rPr>
          <w:sz w:val="22"/>
          <w:szCs w:val="22"/>
        </w:rPr>
        <w:t>U</w:t>
      </w:r>
      <w:r w:rsidR="00993A73" w:rsidRPr="00C25A28">
        <w:rPr>
          <w:sz w:val="22"/>
          <w:szCs w:val="22"/>
        </w:rPr>
        <w:t xml:space="preserve">nit for academic support. </w:t>
      </w:r>
      <w:r w:rsidR="00E9430A" w:rsidRPr="00C25A28">
        <w:rPr>
          <w:sz w:val="22"/>
          <w:szCs w:val="22"/>
        </w:rPr>
        <w:t>Interestingly, t</w:t>
      </w:r>
      <w:r w:rsidR="00993A73" w:rsidRPr="00C25A28">
        <w:rPr>
          <w:sz w:val="22"/>
          <w:szCs w:val="22"/>
        </w:rPr>
        <w:t>he</w:t>
      </w:r>
      <w:r w:rsidR="00DB2CFE" w:rsidRPr="00C25A28">
        <w:rPr>
          <w:sz w:val="22"/>
          <w:szCs w:val="22"/>
        </w:rPr>
        <w:t xml:space="preserve"> programmes in this lower group contained some</w:t>
      </w:r>
      <w:r w:rsidR="00EC7E45" w:rsidRPr="00C25A28">
        <w:rPr>
          <w:sz w:val="22"/>
          <w:szCs w:val="22"/>
        </w:rPr>
        <w:t xml:space="preserve"> modules which had not been evaluated in accordance with the university’s quality assurance processes</w:t>
      </w:r>
      <w:r w:rsidR="00993A73" w:rsidRPr="00C25A28">
        <w:rPr>
          <w:sz w:val="22"/>
          <w:szCs w:val="22"/>
        </w:rPr>
        <w:t xml:space="preserve">, which </w:t>
      </w:r>
      <w:r w:rsidR="00F9389C" w:rsidRPr="00C25A28">
        <w:rPr>
          <w:sz w:val="22"/>
          <w:szCs w:val="22"/>
        </w:rPr>
        <w:t>would seem t</w:t>
      </w:r>
      <w:r w:rsidR="00993A73" w:rsidRPr="00C25A28">
        <w:rPr>
          <w:sz w:val="22"/>
          <w:szCs w:val="22"/>
        </w:rPr>
        <w:t xml:space="preserve">o </w:t>
      </w:r>
      <w:r w:rsidR="00F9389C" w:rsidRPr="00C25A28">
        <w:rPr>
          <w:sz w:val="22"/>
          <w:szCs w:val="22"/>
        </w:rPr>
        <w:t>underline the</w:t>
      </w:r>
      <w:r w:rsidR="00993A73" w:rsidRPr="00C25A28">
        <w:rPr>
          <w:sz w:val="22"/>
          <w:szCs w:val="22"/>
        </w:rPr>
        <w:t xml:space="preserve"> link between student disengagement</w:t>
      </w:r>
      <w:r w:rsidR="00914EA1" w:rsidRPr="00C25A28">
        <w:rPr>
          <w:sz w:val="22"/>
          <w:szCs w:val="22"/>
        </w:rPr>
        <w:t xml:space="preserve"> and staff and institutional processes</w:t>
      </w:r>
      <w:r w:rsidR="00283256" w:rsidRPr="00C25A28">
        <w:rPr>
          <w:sz w:val="22"/>
          <w:szCs w:val="22"/>
        </w:rPr>
        <w:t xml:space="preserve"> </w:t>
      </w:r>
      <w:r w:rsidR="00F9389C" w:rsidRPr="00C25A28">
        <w:rPr>
          <w:sz w:val="22"/>
          <w:szCs w:val="22"/>
        </w:rPr>
        <w:fldChar w:fldCharType="begin" w:fldLock="1"/>
      </w:r>
      <w:r w:rsidR="009A74AB" w:rsidRPr="00C25A28">
        <w:rPr>
          <w:sz w:val="22"/>
          <w:szCs w:val="22"/>
        </w:rPr>
        <w:instrText>ADDIN CSL_CITATION { "citationItems" : [ { "id" : "ITEM-1", "itemData" : { "ISBN" : "9990719640", "abstract" : "While student engagement has enjoyed considerable attention in the literature since the mid-1990s, its beginnings can substantively be seen a decade previously, seminally in Alexander Astins work on student involvement (Astin 1984). Following on from the student experience and research-led teaching before it, student engagement has become the latest focus of attention among those aiming to enhance learning and teaching in higher education, headlining meeting agendas and theming conferences in campuses around the world. It is not difficult to understand why: a sound body of literature has established robust correlations between student involvement in a subset of educationally purposive activities, and positive outcomes of student success and development, including satisfaction, persistence, academic achievement and social engagement (Astin, 1984, 1993; Berger and Milem, 1999; Chickering and Gamson, 1987; Goodsell, Maher and Tinto, 1992; Kuh, 1995; Kuh et al., 2005; Kuh and Vesper, 1997; Pace, 1995; Pascarella and Terenzini, 1991, 2005). With higher education institutions facing increasingly straitened economic conditions, attracting and retaining students, satisfying and developing them and ensuring they graduate to become successful, productive citizens matters more than ever. Kuh (2003) demonstrates that what students bring to higher education, or where they study, matters less to their success and development than what they do during their time as a student. If student engagement can deliver on its promises, it could hold the magic wand making all of this possible.", "author" : [ { "dropping-particle" : "", "family" : "Trowler", "given" : "Vicki", "non-dropping-particle" : "", "parse-names" : false, "suffix" : "" } ], "container-title" : "HEA", "id" : "ITEM-1", "issue" : "November", "issued" : { "date-parts" : [ [ "2010" ] ] }, "number-of-pages" : "1-15", "publisher-place" : "York", "title" : "Student engagement literature review", "type" : "report" }, "uris" : [ "http://www.mendeley.com/documents/?uuid=f2b161eb-2fa3-441c-9251-edcf66adf430" ] } ], "mendeley" : { "formattedCitation" : "(Trowler, 2010)", "plainTextFormattedCitation" : "(Trowler, 2010)", "previouslyFormattedCitation" : "(Trowler, 2010)" }, "properties" : { "noteIndex" : 0 }, "schema" : "https://github.com/citation-style-language/schema/raw/master/csl-citation.json" }</w:instrText>
      </w:r>
      <w:r w:rsidR="00F9389C" w:rsidRPr="00C25A28">
        <w:rPr>
          <w:sz w:val="22"/>
          <w:szCs w:val="22"/>
        </w:rPr>
        <w:fldChar w:fldCharType="separate"/>
      </w:r>
      <w:r w:rsidR="00F9389C" w:rsidRPr="00C25A28">
        <w:rPr>
          <w:noProof/>
          <w:sz w:val="22"/>
          <w:szCs w:val="22"/>
        </w:rPr>
        <w:t>(Trowler, 2010)</w:t>
      </w:r>
      <w:r w:rsidR="00F9389C" w:rsidRPr="00C25A28">
        <w:rPr>
          <w:sz w:val="22"/>
          <w:szCs w:val="22"/>
        </w:rPr>
        <w:fldChar w:fldCharType="end"/>
      </w:r>
      <w:r w:rsidR="00993A73" w:rsidRPr="00C25A28">
        <w:rPr>
          <w:sz w:val="22"/>
          <w:szCs w:val="22"/>
        </w:rPr>
        <w:t>.</w:t>
      </w:r>
    </w:p>
    <w:p w:rsidR="005317DA" w:rsidRPr="00C25A28" w:rsidRDefault="00E53F05" w:rsidP="00C03EA7">
      <w:pPr>
        <w:spacing w:line="240" w:lineRule="auto"/>
        <w:rPr>
          <w:sz w:val="22"/>
          <w:szCs w:val="22"/>
        </w:rPr>
      </w:pPr>
      <w:r w:rsidRPr="00C25A28">
        <w:rPr>
          <w:sz w:val="22"/>
          <w:szCs w:val="22"/>
        </w:rPr>
        <w:t>Cycle</w:t>
      </w:r>
      <w:r w:rsidR="00EE0E1E" w:rsidRPr="00C25A28">
        <w:rPr>
          <w:sz w:val="22"/>
          <w:szCs w:val="22"/>
        </w:rPr>
        <w:t xml:space="preserve"> </w:t>
      </w:r>
      <w:r w:rsidRPr="00C25A28">
        <w:rPr>
          <w:sz w:val="22"/>
          <w:szCs w:val="22"/>
        </w:rPr>
        <w:t xml:space="preserve">2 </w:t>
      </w:r>
      <w:r w:rsidR="00DB2CFE" w:rsidRPr="00C25A28">
        <w:rPr>
          <w:sz w:val="22"/>
          <w:szCs w:val="22"/>
        </w:rPr>
        <w:t xml:space="preserve">(see </w:t>
      </w:r>
      <w:r w:rsidR="00DB2CFE" w:rsidRPr="00C25A28">
        <w:rPr>
          <w:sz w:val="22"/>
          <w:szCs w:val="22"/>
        </w:rPr>
        <w:fldChar w:fldCharType="begin"/>
      </w:r>
      <w:r w:rsidR="00DB2CFE" w:rsidRPr="00C25A28">
        <w:rPr>
          <w:sz w:val="22"/>
          <w:szCs w:val="22"/>
        </w:rPr>
        <w:instrText xml:space="preserve"> REF _Ref482278068 \h </w:instrText>
      </w:r>
      <w:r w:rsidR="00C03EA7" w:rsidRPr="00C25A28">
        <w:rPr>
          <w:sz w:val="22"/>
          <w:szCs w:val="22"/>
        </w:rPr>
        <w:instrText xml:space="preserve"> \* MERGEFORMAT </w:instrText>
      </w:r>
      <w:r w:rsidR="00DB2CFE" w:rsidRPr="00C25A28">
        <w:rPr>
          <w:sz w:val="22"/>
          <w:szCs w:val="22"/>
        </w:rPr>
      </w:r>
      <w:r w:rsidR="00DB2CFE" w:rsidRPr="00C25A28">
        <w:rPr>
          <w:sz w:val="22"/>
          <w:szCs w:val="22"/>
        </w:rPr>
        <w:fldChar w:fldCharType="separate"/>
      </w:r>
      <w:r w:rsidR="00DB2CFE" w:rsidRPr="00C25A28">
        <w:rPr>
          <w:sz w:val="22"/>
          <w:szCs w:val="22"/>
        </w:rPr>
        <w:t xml:space="preserve">Table </w:t>
      </w:r>
      <w:r w:rsidR="00DB2CFE" w:rsidRPr="00C25A28">
        <w:rPr>
          <w:noProof/>
          <w:sz w:val="22"/>
          <w:szCs w:val="22"/>
        </w:rPr>
        <w:t>4</w:t>
      </w:r>
      <w:r w:rsidR="00DB2CFE" w:rsidRPr="00C25A28">
        <w:rPr>
          <w:sz w:val="22"/>
          <w:szCs w:val="22"/>
        </w:rPr>
        <w:fldChar w:fldCharType="end"/>
      </w:r>
      <w:r w:rsidR="00DB2CFE" w:rsidRPr="00C25A28">
        <w:rPr>
          <w:sz w:val="22"/>
          <w:szCs w:val="22"/>
        </w:rPr>
        <w:t xml:space="preserve">) </w:t>
      </w:r>
      <w:r w:rsidR="00EE0E1E" w:rsidRPr="00C25A28">
        <w:rPr>
          <w:sz w:val="22"/>
          <w:szCs w:val="22"/>
        </w:rPr>
        <w:t xml:space="preserve">of </w:t>
      </w:r>
      <w:r w:rsidRPr="00C25A28">
        <w:rPr>
          <w:sz w:val="22"/>
          <w:szCs w:val="22"/>
        </w:rPr>
        <w:t xml:space="preserve">our </w:t>
      </w:r>
      <w:r w:rsidR="00DB2CFE" w:rsidRPr="00C25A28">
        <w:rPr>
          <w:sz w:val="22"/>
          <w:szCs w:val="22"/>
        </w:rPr>
        <w:t xml:space="preserve">research activity </w:t>
      </w:r>
      <w:r w:rsidR="007714C0" w:rsidRPr="00C25A28">
        <w:rPr>
          <w:sz w:val="22"/>
          <w:szCs w:val="22"/>
        </w:rPr>
        <w:t>aimed</w:t>
      </w:r>
      <w:r w:rsidR="00DB2CFE" w:rsidRPr="00C25A28">
        <w:rPr>
          <w:sz w:val="22"/>
          <w:szCs w:val="22"/>
        </w:rPr>
        <w:t xml:space="preserve"> to</w:t>
      </w:r>
      <w:r w:rsidR="007714C0" w:rsidRPr="00C25A28">
        <w:rPr>
          <w:sz w:val="22"/>
          <w:szCs w:val="22"/>
        </w:rPr>
        <w:t xml:space="preserve"> </w:t>
      </w:r>
      <w:r w:rsidR="00DB2CFE" w:rsidRPr="00C25A28">
        <w:rPr>
          <w:sz w:val="22"/>
          <w:szCs w:val="22"/>
        </w:rPr>
        <w:t>further</w:t>
      </w:r>
      <w:r w:rsidRPr="00C25A28">
        <w:rPr>
          <w:sz w:val="22"/>
          <w:szCs w:val="22"/>
        </w:rPr>
        <w:t xml:space="preserve"> explore the experiences of students on the basis of the picture that was emerging from Cycle 1</w:t>
      </w:r>
      <w:r w:rsidR="00DB2CFE" w:rsidRPr="00C25A28">
        <w:rPr>
          <w:sz w:val="22"/>
          <w:szCs w:val="22"/>
        </w:rPr>
        <w:t xml:space="preserve">. </w:t>
      </w:r>
      <w:r w:rsidR="00E0752B" w:rsidRPr="00C25A28">
        <w:rPr>
          <w:sz w:val="22"/>
          <w:szCs w:val="22"/>
        </w:rPr>
        <w:t>It had been planned to conduct focus groups with students from the least engaged group</w:t>
      </w:r>
      <w:r w:rsidR="00DB2CFE" w:rsidRPr="00C25A28">
        <w:rPr>
          <w:sz w:val="22"/>
          <w:szCs w:val="22"/>
        </w:rPr>
        <w:t xml:space="preserve"> (see </w:t>
      </w:r>
      <w:r w:rsidR="00DB2CFE" w:rsidRPr="00C25A28">
        <w:rPr>
          <w:sz w:val="22"/>
          <w:szCs w:val="22"/>
        </w:rPr>
        <w:fldChar w:fldCharType="begin"/>
      </w:r>
      <w:r w:rsidR="00DB2CFE" w:rsidRPr="00C25A28">
        <w:rPr>
          <w:sz w:val="22"/>
          <w:szCs w:val="22"/>
        </w:rPr>
        <w:instrText xml:space="preserve"> REF _Ref482278068 \h </w:instrText>
      </w:r>
      <w:r w:rsidR="00C03EA7" w:rsidRPr="00C25A28">
        <w:rPr>
          <w:sz w:val="22"/>
          <w:szCs w:val="22"/>
        </w:rPr>
        <w:instrText xml:space="preserve"> \* MERGEFORMAT </w:instrText>
      </w:r>
      <w:r w:rsidR="00DB2CFE" w:rsidRPr="00C25A28">
        <w:rPr>
          <w:sz w:val="22"/>
          <w:szCs w:val="22"/>
        </w:rPr>
      </w:r>
      <w:r w:rsidR="00DB2CFE" w:rsidRPr="00C25A28">
        <w:rPr>
          <w:sz w:val="22"/>
          <w:szCs w:val="22"/>
        </w:rPr>
        <w:fldChar w:fldCharType="separate"/>
      </w:r>
      <w:r w:rsidR="00DB2CFE" w:rsidRPr="00C25A28">
        <w:rPr>
          <w:sz w:val="22"/>
          <w:szCs w:val="22"/>
        </w:rPr>
        <w:t xml:space="preserve">Table </w:t>
      </w:r>
      <w:r w:rsidR="00DB2CFE" w:rsidRPr="00C25A28">
        <w:rPr>
          <w:noProof/>
          <w:sz w:val="22"/>
          <w:szCs w:val="22"/>
        </w:rPr>
        <w:t>4</w:t>
      </w:r>
      <w:r w:rsidR="00DB2CFE" w:rsidRPr="00C25A28">
        <w:rPr>
          <w:sz w:val="22"/>
          <w:szCs w:val="22"/>
        </w:rPr>
        <w:fldChar w:fldCharType="end"/>
      </w:r>
      <w:r w:rsidR="00DB2CFE" w:rsidRPr="00C25A28">
        <w:rPr>
          <w:sz w:val="22"/>
          <w:szCs w:val="22"/>
        </w:rPr>
        <w:t>)</w:t>
      </w:r>
      <w:r w:rsidR="00E0752B" w:rsidRPr="00C25A28">
        <w:rPr>
          <w:sz w:val="22"/>
          <w:szCs w:val="22"/>
        </w:rPr>
        <w:t>, but having discovered that the ‘hard to reach’ are indeed hard to reach and struggled to recruit sufficient numbers, an alternative approach was adopted</w:t>
      </w:r>
      <w:r w:rsidR="00EB685E" w:rsidRPr="00C25A28">
        <w:rPr>
          <w:sz w:val="22"/>
          <w:szCs w:val="22"/>
        </w:rPr>
        <w:t xml:space="preserve">. </w:t>
      </w:r>
      <w:r w:rsidR="009011C0" w:rsidRPr="00C25A28">
        <w:rPr>
          <w:sz w:val="22"/>
          <w:szCs w:val="22"/>
        </w:rPr>
        <w:t xml:space="preserve">Instead, an online questionnaire was developed that was circulated via e-mail to students from both top </w:t>
      </w:r>
      <w:r w:rsidR="005317DA" w:rsidRPr="00C25A28">
        <w:rPr>
          <w:sz w:val="22"/>
          <w:szCs w:val="22"/>
        </w:rPr>
        <w:t>(n=81), bottom (n=236)</w:t>
      </w:r>
      <w:r w:rsidR="009011C0" w:rsidRPr="00C25A28">
        <w:rPr>
          <w:sz w:val="22"/>
          <w:szCs w:val="22"/>
        </w:rPr>
        <w:t xml:space="preserve"> </w:t>
      </w:r>
      <w:r w:rsidR="005317DA" w:rsidRPr="00C25A28">
        <w:rPr>
          <w:sz w:val="22"/>
          <w:szCs w:val="22"/>
        </w:rPr>
        <w:t xml:space="preserve">and most populous (n=481) </w:t>
      </w:r>
      <w:r w:rsidR="009011C0" w:rsidRPr="00C25A28">
        <w:rPr>
          <w:sz w:val="22"/>
          <w:szCs w:val="22"/>
        </w:rPr>
        <w:t xml:space="preserve">groups. The questionnaire sought to </w:t>
      </w:r>
      <w:r w:rsidR="000F0A98" w:rsidRPr="00C25A28">
        <w:rPr>
          <w:sz w:val="22"/>
          <w:szCs w:val="22"/>
        </w:rPr>
        <w:t xml:space="preserve">establish what students understood by the term engagement, what engagement activities they were involved in and what acted as either enabling factors or barriers to their engagement. Participants were also asked what they felt the university could do to improve opportunities for students to engage. Questions relating to belonging and identity were also included. The questions were predominantly open-ended to encourage more meaningful qualitative data. </w:t>
      </w:r>
    </w:p>
    <w:p w:rsidR="00DB2CFE" w:rsidRPr="00C25A28" w:rsidRDefault="000F0A98" w:rsidP="00C03EA7">
      <w:pPr>
        <w:spacing w:line="240" w:lineRule="auto"/>
        <w:rPr>
          <w:sz w:val="22"/>
          <w:szCs w:val="22"/>
        </w:rPr>
      </w:pPr>
      <w:r w:rsidRPr="00C25A28">
        <w:rPr>
          <w:sz w:val="22"/>
          <w:szCs w:val="22"/>
        </w:rPr>
        <w:t>The initial round of collection via the questionnaire has yielded a relatively small number of responses</w:t>
      </w:r>
      <w:r w:rsidR="00753CD5" w:rsidRPr="00C25A28">
        <w:rPr>
          <w:sz w:val="22"/>
          <w:szCs w:val="22"/>
        </w:rPr>
        <w:t xml:space="preserve"> (n=13)</w:t>
      </w:r>
      <w:r w:rsidRPr="00C25A28">
        <w:rPr>
          <w:sz w:val="22"/>
          <w:szCs w:val="22"/>
        </w:rPr>
        <w:t xml:space="preserve">, </w:t>
      </w:r>
      <w:r w:rsidR="00587D64" w:rsidRPr="00C25A28">
        <w:rPr>
          <w:sz w:val="22"/>
          <w:szCs w:val="22"/>
        </w:rPr>
        <w:t>almost all of which were from students in the top or most populous grouping</w:t>
      </w:r>
      <w:r w:rsidR="004610DA" w:rsidRPr="00C25A28">
        <w:rPr>
          <w:sz w:val="22"/>
          <w:szCs w:val="22"/>
        </w:rPr>
        <w:t xml:space="preserve">. </w:t>
      </w:r>
      <w:r w:rsidR="005317DA" w:rsidRPr="00C25A28">
        <w:rPr>
          <w:sz w:val="22"/>
          <w:szCs w:val="22"/>
        </w:rPr>
        <w:t xml:space="preserve">The qualitative data collection is continuing </w:t>
      </w:r>
      <w:r w:rsidR="001A5018" w:rsidRPr="00C25A28">
        <w:rPr>
          <w:sz w:val="22"/>
          <w:szCs w:val="22"/>
        </w:rPr>
        <w:t>with the aim of achieving a 10% (n=79) response rate</w:t>
      </w:r>
      <w:r w:rsidR="005317DA" w:rsidRPr="00C25A28">
        <w:rPr>
          <w:sz w:val="22"/>
          <w:szCs w:val="22"/>
        </w:rPr>
        <w:t>.</w:t>
      </w:r>
    </w:p>
    <w:p w:rsidR="00C25A28" w:rsidRDefault="00C25A28">
      <w:pPr>
        <w:spacing w:line="259" w:lineRule="auto"/>
        <w:rPr>
          <w:sz w:val="22"/>
          <w:szCs w:val="22"/>
        </w:rPr>
      </w:pPr>
      <w:bookmarkStart w:id="6" w:name="_Ref482278068"/>
      <w:bookmarkStart w:id="7" w:name="_Ref482278075"/>
      <w:r>
        <w:rPr>
          <w:sz w:val="22"/>
          <w:szCs w:val="22"/>
        </w:rPr>
        <w:br w:type="page"/>
      </w:r>
    </w:p>
    <w:p w:rsidR="00DB2CFE" w:rsidRPr="00C25A28" w:rsidRDefault="00DB2CFE" w:rsidP="00C03EA7">
      <w:pPr>
        <w:spacing w:line="240" w:lineRule="auto"/>
        <w:rPr>
          <w:sz w:val="22"/>
          <w:szCs w:val="22"/>
        </w:rPr>
      </w:pPr>
      <w:r w:rsidRPr="00C25A28">
        <w:rPr>
          <w:sz w:val="22"/>
          <w:szCs w:val="22"/>
        </w:rPr>
        <w:lastRenderedPageBreak/>
        <w:t xml:space="preserve">Table </w:t>
      </w:r>
      <w:r w:rsidRPr="00C25A28">
        <w:rPr>
          <w:sz w:val="22"/>
          <w:szCs w:val="22"/>
        </w:rPr>
        <w:fldChar w:fldCharType="begin"/>
      </w:r>
      <w:r w:rsidRPr="00C25A28">
        <w:rPr>
          <w:sz w:val="22"/>
          <w:szCs w:val="22"/>
        </w:rPr>
        <w:instrText xml:space="preserve"> SEQ Table \* ARABIC </w:instrText>
      </w:r>
      <w:r w:rsidRPr="00C25A28">
        <w:rPr>
          <w:sz w:val="22"/>
          <w:szCs w:val="22"/>
        </w:rPr>
        <w:fldChar w:fldCharType="separate"/>
      </w:r>
      <w:r w:rsidRPr="00C25A28">
        <w:rPr>
          <w:noProof/>
          <w:sz w:val="22"/>
          <w:szCs w:val="22"/>
        </w:rPr>
        <w:t>4</w:t>
      </w:r>
      <w:r w:rsidRPr="00C25A28">
        <w:rPr>
          <w:noProof/>
          <w:sz w:val="22"/>
          <w:szCs w:val="22"/>
        </w:rPr>
        <w:fldChar w:fldCharType="end"/>
      </w:r>
      <w:bookmarkEnd w:id="6"/>
      <w:r w:rsidRPr="00C25A28">
        <w:rPr>
          <w:sz w:val="22"/>
          <w:szCs w:val="22"/>
        </w:rPr>
        <w:t>: Cycle 2: Deeper qualitative analysis</w:t>
      </w:r>
      <w:bookmarkEnd w:id="7"/>
    </w:p>
    <w:tbl>
      <w:tblPr>
        <w:tblStyle w:val="TableGrid"/>
        <w:tblW w:w="0" w:type="auto"/>
        <w:tblLook w:val="04A0" w:firstRow="1" w:lastRow="0" w:firstColumn="1" w:lastColumn="0" w:noHBand="0" w:noVBand="1"/>
      </w:tblPr>
      <w:tblGrid>
        <w:gridCol w:w="1129"/>
        <w:gridCol w:w="6379"/>
      </w:tblGrid>
      <w:tr w:rsidR="00DB2CFE" w:rsidRPr="00C25A28" w:rsidTr="00C25A28">
        <w:tc>
          <w:tcPr>
            <w:tcW w:w="1129" w:type="dxa"/>
          </w:tcPr>
          <w:p w:rsidR="00DB2CFE" w:rsidRPr="00C25A28" w:rsidRDefault="00DB2CFE" w:rsidP="00C03EA7">
            <w:pPr>
              <w:spacing w:line="240" w:lineRule="auto"/>
              <w:rPr>
                <w:b/>
                <w:sz w:val="20"/>
                <w:szCs w:val="20"/>
              </w:rPr>
            </w:pPr>
            <w:r w:rsidRPr="00C25A28">
              <w:rPr>
                <w:b/>
                <w:sz w:val="20"/>
                <w:szCs w:val="20"/>
              </w:rPr>
              <w:t>Stage</w:t>
            </w:r>
          </w:p>
        </w:tc>
        <w:tc>
          <w:tcPr>
            <w:tcW w:w="6379" w:type="dxa"/>
          </w:tcPr>
          <w:p w:rsidR="00DB2CFE" w:rsidRPr="00C25A28" w:rsidRDefault="00DB2CFE" w:rsidP="00C03EA7">
            <w:pPr>
              <w:spacing w:line="240" w:lineRule="auto"/>
              <w:rPr>
                <w:b/>
                <w:sz w:val="20"/>
                <w:szCs w:val="20"/>
              </w:rPr>
            </w:pPr>
            <w:r w:rsidRPr="00C25A28">
              <w:rPr>
                <w:b/>
                <w:sz w:val="20"/>
                <w:szCs w:val="20"/>
              </w:rPr>
              <w:t>Activity</w:t>
            </w:r>
          </w:p>
        </w:tc>
      </w:tr>
      <w:tr w:rsidR="00DB2CFE" w:rsidRPr="00C25A28" w:rsidTr="00C25A28">
        <w:tc>
          <w:tcPr>
            <w:tcW w:w="1129" w:type="dxa"/>
          </w:tcPr>
          <w:p w:rsidR="00DB2CFE" w:rsidRPr="00C25A28" w:rsidRDefault="00DB2CFE" w:rsidP="00C03EA7">
            <w:pPr>
              <w:spacing w:line="240" w:lineRule="auto"/>
              <w:rPr>
                <w:sz w:val="20"/>
                <w:szCs w:val="20"/>
              </w:rPr>
            </w:pPr>
            <w:r w:rsidRPr="00C25A28">
              <w:rPr>
                <w:sz w:val="20"/>
                <w:szCs w:val="20"/>
              </w:rPr>
              <w:t>Planning</w:t>
            </w:r>
          </w:p>
        </w:tc>
        <w:tc>
          <w:tcPr>
            <w:tcW w:w="6379" w:type="dxa"/>
          </w:tcPr>
          <w:p w:rsidR="00DB2CFE" w:rsidRPr="00C25A28" w:rsidRDefault="00DB2CFE" w:rsidP="00C03EA7">
            <w:pPr>
              <w:pStyle w:val="ListParagraph"/>
              <w:numPr>
                <w:ilvl w:val="0"/>
                <w:numId w:val="11"/>
              </w:numPr>
              <w:spacing w:line="240" w:lineRule="auto"/>
              <w:rPr>
                <w:sz w:val="20"/>
                <w:szCs w:val="20"/>
              </w:rPr>
            </w:pPr>
            <w:r w:rsidRPr="00C25A28">
              <w:rPr>
                <w:sz w:val="20"/>
                <w:szCs w:val="20"/>
              </w:rPr>
              <w:t>Understanding students/groups for further investigation</w:t>
            </w:r>
          </w:p>
          <w:p w:rsidR="00DB2CFE" w:rsidRPr="00C25A28" w:rsidRDefault="00DB2CFE" w:rsidP="00C03EA7">
            <w:pPr>
              <w:pStyle w:val="ListParagraph"/>
              <w:numPr>
                <w:ilvl w:val="0"/>
                <w:numId w:val="11"/>
              </w:numPr>
              <w:spacing w:line="240" w:lineRule="auto"/>
              <w:rPr>
                <w:sz w:val="20"/>
                <w:szCs w:val="20"/>
              </w:rPr>
            </w:pPr>
            <w:r w:rsidRPr="00C25A28">
              <w:rPr>
                <w:sz w:val="20"/>
                <w:szCs w:val="20"/>
              </w:rPr>
              <w:t>Gaining access to students/groups</w:t>
            </w:r>
          </w:p>
          <w:p w:rsidR="00DB2CFE" w:rsidRPr="00C25A28" w:rsidRDefault="00DB2CFE" w:rsidP="00C03EA7">
            <w:pPr>
              <w:pStyle w:val="ListParagraph"/>
              <w:numPr>
                <w:ilvl w:val="0"/>
                <w:numId w:val="11"/>
              </w:numPr>
              <w:spacing w:line="240" w:lineRule="auto"/>
              <w:rPr>
                <w:sz w:val="20"/>
                <w:szCs w:val="20"/>
              </w:rPr>
            </w:pPr>
            <w:r w:rsidRPr="00C25A28">
              <w:rPr>
                <w:sz w:val="20"/>
                <w:szCs w:val="20"/>
              </w:rPr>
              <w:t>Engaging the SU in preparing for the focus groups</w:t>
            </w:r>
          </w:p>
          <w:p w:rsidR="00DB2CFE" w:rsidRPr="00C25A28" w:rsidRDefault="00DB2CFE" w:rsidP="00C03EA7">
            <w:pPr>
              <w:pStyle w:val="ListParagraph"/>
              <w:numPr>
                <w:ilvl w:val="0"/>
                <w:numId w:val="11"/>
              </w:numPr>
              <w:spacing w:line="240" w:lineRule="auto"/>
              <w:rPr>
                <w:sz w:val="20"/>
                <w:szCs w:val="20"/>
              </w:rPr>
            </w:pPr>
            <w:r w:rsidRPr="00C25A28">
              <w:rPr>
                <w:sz w:val="20"/>
                <w:szCs w:val="20"/>
              </w:rPr>
              <w:t>Preparing the questions for the focus groups</w:t>
            </w:r>
          </w:p>
        </w:tc>
      </w:tr>
      <w:tr w:rsidR="00DB2CFE" w:rsidRPr="00C25A28" w:rsidTr="00C25A28">
        <w:tc>
          <w:tcPr>
            <w:tcW w:w="1129" w:type="dxa"/>
          </w:tcPr>
          <w:p w:rsidR="00DB2CFE" w:rsidRPr="00C25A28" w:rsidRDefault="00DB2CFE" w:rsidP="00C03EA7">
            <w:pPr>
              <w:spacing w:line="240" w:lineRule="auto"/>
              <w:rPr>
                <w:sz w:val="20"/>
                <w:szCs w:val="20"/>
              </w:rPr>
            </w:pPr>
            <w:r w:rsidRPr="00C25A28">
              <w:rPr>
                <w:sz w:val="20"/>
                <w:szCs w:val="20"/>
              </w:rPr>
              <w:t>Acting</w:t>
            </w:r>
          </w:p>
        </w:tc>
        <w:tc>
          <w:tcPr>
            <w:tcW w:w="6379" w:type="dxa"/>
          </w:tcPr>
          <w:p w:rsidR="00DB2CFE" w:rsidRPr="00C25A28" w:rsidRDefault="00DB2CFE" w:rsidP="00C03EA7">
            <w:pPr>
              <w:pStyle w:val="ListParagraph"/>
              <w:numPr>
                <w:ilvl w:val="0"/>
                <w:numId w:val="7"/>
              </w:numPr>
              <w:spacing w:line="240" w:lineRule="auto"/>
              <w:rPr>
                <w:sz w:val="20"/>
                <w:szCs w:val="20"/>
              </w:rPr>
            </w:pPr>
            <w:r w:rsidRPr="00C25A28">
              <w:rPr>
                <w:sz w:val="20"/>
                <w:szCs w:val="20"/>
              </w:rPr>
              <w:t>Supporting the SU in focus groups</w:t>
            </w:r>
          </w:p>
          <w:p w:rsidR="00DB2CFE" w:rsidRPr="00C25A28" w:rsidRDefault="00DB2CFE" w:rsidP="00C03EA7">
            <w:pPr>
              <w:pStyle w:val="ListParagraph"/>
              <w:numPr>
                <w:ilvl w:val="0"/>
                <w:numId w:val="7"/>
              </w:numPr>
              <w:spacing w:line="240" w:lineRule="auto"/>
              <w:rPr>
                <w:sz w:val="20"/>
                <w:szCs w:val="20"/>
              </w:rPr>
            </w:pPr>
            <w:r w:rsidRPr="00C25A28">
              <w:rPr>
                <w:sz w:val="20"/>
                <w:szCs w:val="20"/>
              </w:rPr>
              <w:t>Preparing project schedule (action plan) for the focus groups</w:t>
            </w:r>
          </w:p>
          <w:p w:rsidR="00DB2CFE" w:rsidRPr="00C25A28" w:rsidRDefault="00DB2CFE" w:rsidP="00C03EA7">
            <w:pPr>
              <w:pStyle w:val="ListParagraph"/>
              <w:numPr>
                <w:ilvl w:val="0"/>
                <w:numId w:val="7"/>
              </w:numPr>
              <w:spacing w:line="240" w:lineRule="auto"/>
              <w:rPr>
                <w:sz w:val="20"/>
                <w:szCs w:val="20"/>
              </w:rPr>
            </w:pPr>
            <w:r w:rsidRPr="00C25A28">
              <w:rPr>
                <w:sz w:val="20"/>
                <w:szCs w:val="20"/>
              </w:rPr>
              <w:t>Conducting focus groups</w:t>
            </w:r>
          </w:p>
          <w:p w:rsidR="00DB2CFE" w:rsidRPr="00C25A28" w:rsidRDefault="00DB2CFE" w:rsidP="00C03EA7">
            <w:pPr>
              <w:pStyle w:val="ListParagraph"/>
              <w:numPr>
                <w:ilvl w:val="0"/>
                <w:numId w:val="7"/>
              </w:numPr>
              <w:spacing w:line="240" w:lineRule="auto"/>
              <w:rPr>
                <w:sz w:val="20"/>
                <w:szCs w:val="20"/>
              </w:rPr>
            </w:pPr>
            <w:r w:rsidRPr="00C25A28">
              <w:rPr>
                <w:sz w:val="20"/>
                <w:szCs w:val="20"/>
              </w:rPr>
              <w:t>Conduct data gathering</w:t>
            </w:r>
          </w:p>
        </w:tc>
      </w:tr>
      <w:tr w:rsidR="00DB2CFE" w:rsidRPr="00C25A28" w:rsidTr="00C25A28">
        <w:tc>
          <w:tcPr>
            <w:tcW w:w="1129" w:type="dxa"/>
          </w:tcPr>
          <w:p w:rsidR="00DB2CFE" w:rsidRPr="00C25A28" w:rsidRDefault="00DB2CFE" w:rsidP="00C03EA7">
            <w:pPr>
              <w:spacing w:line="240" w:lineRule="auto"/>
              <w:rPr>
                <w:sz w:val="20"/>
                <w:szCs w:val="20"/>
              </w:rPr>
            </w:pPr>
            <w:r w:rsidRPr="00C25A28">
              <w:rPr>
                <w:sz w:val="20"/>
                <w:szCs w:val="20"/>
              </w:rPr>
              <w:t>Observing</w:t>
            </w:r>
          </w:p>
        </w:tc>
        <w:tc>
          <w:tcPr>
            <w:tcW w:w="6379" w:type="dxa"/>
          </w:tcPr>
          <w:p w:rsidR="00DB2CFE" w:rsidRPr="00C25A28" w:rsidRDefault="00DB2CFE" w:rsidP="00C03EA7">
            <w:pPr>
              <w:pStyle w:val="ListParagraph"/>
              <w:numPr>
                <w:ilvl w:val="0"/>
                <w:numId w:val="12"/>
              </w:numPr>
              <w:spacing w:line="240" w:lineRule="auto"/>
              <w:rPr>
                <w:sz w:val="20"/>
                <w:szCs w:val="20"/>
              </w:rPr>
            </w:pPr>
            <w:r w:rsidRPr="00C25A28">
              <w:rPr>
                <w:sz w:val="20"/>
                <w:szCs w:val="20"/>
              </w:rPr>
              <w:t>Critical reflexivity discussion from the project team</w:t>
            </w:r>
          </w:p>
        </w:tc>
      </w:tr>
      <w:tr w:rsidR="00DB2CFE" w:rsidRPr="00C25A28" w:rsidTr="00C25A28">
        <w:tc>
          <w:tcPr>
            <w:tcW w:w="1129" w:type="dxa"/>
          </w:tcPr>
          <w:p w:rsidR="00DB2CFE" w:rsidRPr="00C25A28" w:rsidRDefault="00DB2CFE" w:rsidP="00C03EA7">
            <w:pPr>
              <w:spacing w:line="240" w:lineRule="auto"/>
              <w:rPr>
                <w:sz w:val="20"/>
                <w:szCs w:val="20"/>
              </w:rPr>
            </w:pPr>
            <w:r w:rsidRPr="00C25A28">
              <w:rPr>
                <w:sz w:val="20"/>
                <w:szCs w:val="20"/>
              </w:rPr>
              <w:t>Reflecting</w:t>
            </w:r>
          </w:p>
        </w:tc>
        <w:tc>
          <w:tcPr>
            <w:tcW w:w="6379" w:type="dxa"/>
          </w:tcPr>
          <w:p w:rsidR="00DB2CFE" w:rsidRPr="00C25A28" w:rsidRDefault="00DB2CFE" w:rsidP="00C03EA7">
            <w:pPr>
              <w:pStyle w:val="ListParagraph"/>
              <w:numPr>
                <w:ilvl w:val="0"/>
                <w:numId w:val="13"/>
              </w:numPr>
              <w:spacing w:line="240" w:lineRule="auto"/>
              <w:rPr>
                <w:sz w:val="20"/>
                <w:szCs w:val="20"/>
              </w:rPr>
            </w:pPr>
            <w:r w:rsidRPr="00C25A28">
              <w:rPr>
                <w:sz w:val="20"/>
                <w:szCs w:val="20"/>
              </w:rPr>
              <w:t>Analyse data</w:t>
            </w:r>
          </w:p>
          <w:p w:rsidR="00DB2CFE" w:rsidRPr="00C25A28" w:rsidRDefault="00DB2CFE" w:rsidP="00C03EA7">
            <w:pPr>
              <w:pStyle w:val="ListParagraph"/>
              <w:numPr>
                <w:ilvl w:val="0"/>
                <w:numId w:val="13"/>
              </w:numPr>
              <w:spacing w:line="240" w:lineRule="auto"/>
              <w:rPr>
                <w:sz w:val="20"/>
                <w:szCs w:val="20"/>
              </w:rPr>
            </w:pPr>
            <w:r w:rsidRPr="00C25A28">
              <w:rPr>
                <w:sz w:val="20"/>
                <w:szCs w:val="20"/>
              </w:rPr>
              <w:t>Undertake thematic analysis</w:t>
            </w:r>
          </w:p>
          <w:p w:rsidR="00DB2CFE" w:rsidRPr="00C25A28" w:rsidRDefault="00DB2CFE" w:rsidP="00C03EA7">
            <w:pPr>
              <w:pStyle w:val="ListParagraph"/>
              <w:numPr>
                <w:ilvl w:val="0"/>
                <w:numId w:val="13"/>
              </w:numPr>
              <w:spacing w:line="240" w:lineRule="auto"/>
              <w:rPr>
                <w:sz w:val="20"/>
                <w:szCs w:val="20"/>
              </w:rPr>
            </w:pPr>
            <w:r w:rsidRPr="00C25A28">
              <w:rPr>
                <w:sz w:val="20"/>
                <w:szCs w:val="20"/>
              </w:rPr>
              <w:t>Seek peer validation</w:t>
            </w:r>
          </w:p>
        </w:tc>
      </w:tr>
    </w:tbl>
    <w:p w:rsidR="001B39C8" w:rsidRPr="00C25A28" w:rsidRDefault="001B39C8" w:rsidP="00C03EA7">
      <w:pPr>
        <w:spacing w:line="240" w:lineRule="auto"/>
        <w:rPr>
          <w:sz w:val="22"/>
          <w:szCs w:val="22"/>
        </w:rPr>
      </w:pPr>
    </w:p>
    <w:p w:rsidR="0075335A" w:rsidRPr="00C25A28" w:rsidRDefault="00914EA1" w:rsidP="00C03EA7">
      <w:pPr>
        <w:spacing w:line="240" w:lineRule="auto"/>
        <w:rPr>
          <w:sz w:val="22"/>
          <w:szCs w:val="22"/>
        </w:rPr>
      </w:pPr>
      <w:r w:rsidRPr="00C25A28">
        <w:rPr>
          <w:sz w:val="22"/>
          <w:szCs w:val="22"/>
        </w:rPr>
        <w:t>Analysis of initial results</w:t>
      </w:r>
      <w:r w:rsidR="00587D64" w:rsidRPr="00C25A28">
        <w:rPr>
          <w:sz w:val="22"/>
          <w:szCs w:val="22"/>
        </w:rPr>
        <w:t xml:space="preserve"> reveals an understanding of ‘engagement’ to mean participation with the university in the broadest sense, with ‘university life’, with the social aspects</w:t>
      </w:r>
      <w:r w:rsidR="006A0A09" w:rsidRPr="00C25A28">
        <w:rPr>
          <w:sz w:val="22"/>
          <w:szCs w:val="22"/>
        </w:rPr>
        <w:t xml:space="preserve">, and with the </w:t>
      </w:r>
      <w:r w:rsidR="00587D64" w:rsidRPr="00C25A28">
        <w:rPr>
          <w:sz w:val="22"/>
          <w:szCs w:val="22"/>
        </w:rPr>
        <w:t>students</w:t>
      </w:r>
      <w:r w:rsidR="00A46CC4" w:rsidRPr="00C25A28">
        <w:rPr>
          <w:sz w:val="22"/>
          <w:szCs w:val="22"/>
        </w:rPr>
        <w:t>’</w:t>
      </w:r>
      <w:r w:rsidR="00587D64" w:rsidRPr="00C25A28">
        <w:rPr>
          <w:sz w:val="22"/>
          <w:szCs w:val="22"/>
        </w:rPr>
        <w:t xml:space="preserve"> union and clubs, although this was often combined with the importance of academic engagement with lecturers, classes and subjects. </w:t>
      </w:r>
      <w:r w:rsidR="006A0A09" w:rsidRPr="00C25A28">
        <w:rPr>
          <w:sz w:val="22"/>
          <w:szCs w:val="22"/>
        </w:rPr>
        <w:t>Around</w:t>
      </w:r>
      <w:r w:rsidR="00587D64" w:rsidRPr="00C25A28">
        <w:rPr>
          <w:sz w:val="22"/>
          <w:szCs w:val="22"/>
        </w:rPr>
        <w:t xml:space="preserve"> half of the participants</w:t>
      </w:r>
      <w:r w:rsidR="00A46CC4" w:rsidRPr="00C25A28">
        <w:rPr>
          <w:sz w:val="22"/>
          <w:szCs w:val="22"/>
        </w:rPr>
        <w:t xml:space="preserve"> identified participating in university quality assurance processes</w:t>
      </w:r>
      <w:r w:rsidR="001A5018" w:rsidRPr="00C25A28">
        <w:rPr>
          <w:sz w:val="22"/>
          <w:szCs w:val="22"/>
        </w:rPr>
        <w:t xml:space="preserve"> (module evaluations, validation events and review panels)</w:t>
      </w:r>
      <w:r w:rsidR="00A46CC4" w:rsidRPr="00C25A28">
        <w:rPr>
          <w:sz w:val="22"/>
          <w:szCs w:val="22"/>
        </w:rPr>
        <w:t xml:space="preserve"> as the principle means via which they engaged with the university beyond their academic studies, while around a third indicated engaging with students’ union activities. Participation in sports at the university, both informally and as part of university teams was also identified as a main engagement activity.</w:t>
      </w:r>
      <w:r w:rsidR="006A0A09" w:rsidRPr="00C25A28">
        <w:rPr>
          <w:sz w:val="22"/>
          <w:szCs w:val="22"/>
        </w:rPr>
        <w:t xml:space="preserve"> The key enabling factor for engagement with quality assurance processes was direct e-mail</w:t>
      </w:r>
      <w:r w:rsidR="00D21013" w:rsidRPr="00C25A28">
        <w:rPr>
          <w:sz w:val="22"/>
          <w:szCs w:val="22"/>
        </w:rPr>
        <w:t>. It was interesting that</w:t>
      </w:r>
      <w:r w:rsidR="00010F6C" w:rsidRPr="00C25A28">
        <w:rPr>
          <w:sz w:val="22"/>
          <w:szCs w:val="22"/>
        </w:rPr>
        <w:t xml:space="preserve"> only one student </w:t>
      </w:r>
      <w:r w:rsidR="001A5018" w:rsidRPr="00C25A28">
        <w:rPr>
          <w:sz w:val="22"/>
          <w:szCs w:val="22"/>
        </w:rPr>
        <w:t>explicitly indicated</w:t>
      </w:r>
      <w:r w:rsidR="00010F6C" w:rsidRPr="00C25A28">
        <w:rPr>
          <w:sz w:val="22"/>
          <w:szCs w:val="22"/>
        </w:rPr>
        <w:t xml:space="preserve"> an altruistic motivation to ‘help future students’. </w:t>
      </w:r>
      <w:r w:rsidR="0075335A" w:rsidRPr="00C25A28">
        <w:rPr>
          <w:sz w:val="22"/>
          <w:szCs w:val="22"/>
        </w:rPr>
        <w:t>Precedent established by peers who had also engaged in activities was also a motivating factor, as was joining in to ‘enhance [their] CV’.</w:t>
      </w:r>
    </w:p>
    <w:p w:rsidR="001A5018" w:rsidRPr="00C25A28" w:rsidRDefault="00010F6C" w:rsidP="00C03EA7">
      <w:pPr>
        <w:spacing w:line="240" w:lineRule="auto"/>
        <w:rPr>
          <w:sz w:val="22"/>
          <w:szCs w:val="22"/>
        </w:rPr>
      </w:pPr>
      <w:r w:rsidRPr="00C25A28">
        <w:rPr>
          <w:sz w:val="22"/>
          <w:szCs w:val="22"/>
        </w:rPr>
        <w:t xml:space="preserve">Practicalities such as geographical proximity and timetabling were important factors in </w:t>
      </w:r>
      <w:r w:rsidR="0075335A" w:rsidRPr="00C25A28">
        <w:rPr>
          <w:sz w:val="22"/>
          <w:szCs w:val="22"/>
        </w:rPr>
        <w:t>determining students</w:t>
      </w:r>
      <w:r w:rsidR="00590AF5" w:rsidRPr="00C25A28">
        <w:rPr>
          <w:sz w:val="22"/>
          <w:szCs w:val="22"/>
        </w:rPr>
        <w:t>’</w:t>
      </w:r>
      <w:r w:rsidR="0075335A" w:rsidRPr="00C25A28">
        <w:rPr>
          <w:sz w:val="22"/>
          <w:szCs w:val="22"/>
        </w:rPr>
        <w:t xml:space="preserve"> ability to</w:t>
      </w:r>
      <w:r w:rsidRPr="00C25A28">
        <w:rPr>
          <w:sz w:val="22"/>
          <w:szCs w:val="22"/>
        </w:rPr>
        <w:t xml:space="preserve"> participa</w:t>
      </w:r>
      <w:r w:rsidR="0075335A" w:rsidRPr="00C25A28">
        <w:rPr>
          <w:sz w:val="22"/>
          <w:szCs w:val="22"/>
        </w:rPr>
        <w:t>te</w:t>
      </w:r>
      <w:r w:rsidRPr="00C25A28">
        <w:rPr>
          <w:sz w:val="22"/>
          <w:szCs w:val="22"/>
        </w:rPr>
        <w:t xml:space="preserve"> in extra-curricular activities</w:t>
      </w:r>
      <w:r w:rsidR="00590AF5" w:rsidRPr="00C25A28">
        <w:rPr>
          <w:sz w:val="22"/>
          <w:szCs w:val="22"/>
        </w:rPr>
        <w:t xml:space="preserve">, with some frustration evident at clashes between academic timetabling and other engagement opportunities. Related to </w:t>
      </w:r>
      <w:r w:rsidR="00235452" w:rsidRPr="00C25A28">
        <w:rPr>
          <w:sz w:val="22"/>
          <w:szCs w:val="22"/>
        </w:rPr>
        <w:t>this</w:t>
      </w:r>
      <w:r w:rsidR="00590AF5" w:rsidRPr="00C25A28">
        <w:rPr>
          <w:sz w:val="22"/>
          <w:szCs w:val="22"/>
        </w:rPr>
        <w:t>, some students stated that attending what they perceived to be a secondary campus meant that they did not feel they were part of the main university and had access only to a reduced offer of activities</w:t>
      </w:r>
      <w:r w:rsidR="00235452" w:rsidRPr="00C25A28">
        <w:rPr>
          <w:sz w:val="22"/>
          <w:szCs w:val="22"/>
        </w:rPr>
        <w:t>. One participant bemoaned the lack of opportunities of relevance to mature and older students</w:t>
      </w:r>
      <w:r w:rsidR="00CB3245" w:rsidRPr="00C25A28">
        <w:rPr>
          <w:sz w:val="22"/>
          <w:szCs w:val="22"/>
        </w:rPr>
        <w:t>, requesting that mature students be made to feel</w:t>
      </w:r>
      <w:r w:rsidR="001A5018" w:rsidRPr="00C25A28">
        <w:rPr>
          <w:sz w:val="22"/>
          <w:szCs w:val="22"/>
        </w:rPr>
        <w:t>:</w:t>
      </w:r>
      <w:r w:rsidR="00CB3245" w:rsidRPr="00C25A28">
        <w:rPr>
          <w:sz w:val="22"/>
          <w:szCs w:val="22"/>
        </w:rPr>
        <w:t xml:space="preserve"> </w:t>
      </w:r>
    </w:p>
    <w:p w:rsidR="001A5018" w:rsidRPr="00C25A28" w:rsidRDefault="00CB3245" w:rsidP="00C03EA7">
      <w:pPr>
        <w:spacing w:line="240" w:lineRule="auto"/>
        <w:ind w:firstLine="720"/>
        <w:rPr>
          <w:sz w:val="22"/>
          <w:szCs w:val="22"/>
        </w:rPr>
      </w:pPr>
      <w:r w:rsidRPr="00C25A28">
        <w:rPr>
          <w:i/>
          <w:sz w:val="22"/>
          <w:szCs w:val="22"/>
        </w:rPr>
        <w:t>‘as much a part of the uni as the younger students’</w:t>
      </w:r>
      <w:r w:rsidR="000475CC" w:rsidRPr="00C25A28">
        <w:rPr>
          <w:sz w:val="22"/>
          <w:szCs w:val="22"/>
        </w:rPr>
        <w:t xml:space="preserve"> </w:t>
      </w:r>
    </w:p>
    <w:p w:rsidR="001A5018" w:rsidRPr="00C25A28" w:rsidRDefault="001A5018" w:rsidP="00C03EA7">
      <w:pPr>
        <w:spacing w:line="240" w:lineRule="auto"/>
        <w:rPr>
          <w:sz w:val="22"/>
          <w:szCs w:val="22"/>
        </w:rPr>
      </w:pPr>
      <w:r w:rsidRPr="00C25A28">
        <w:rPr>
          <w:sz w:val="22"/>
          <w:szCs w:val="22"/>
        </w:rPr>
        <w:t>s</w:t>
      </w:r>
      <w:r w:rsidR="000475CC" w:rsidRPr="00C25A28">
        <w:rPr>
          <w:sz w:val="22"/>
          <w:szCs w:val="22"/>
        </w:rPr>
        <w:t>tating that th</w:t>
      </w:r>
      <w:r w:rsidRPr="00C25A28">
        <w:rPr>
          <w:sz w:val="22"/>
          <w:szCs w:val="22"/>
        </w:rPr>
        <w:t>ey never felt:</w:t>
      </w:r>
    </w:p>
    <w:p w:rsidR="001A5018" w:rsidRPr="00C25A28" w:rsidRDefault="000475CC" w:rsidP="00C03EA7">
      <w:pPr>
        <w:spacing w:line="240" w:lineRule="auto"/>
        <w:ind w:firstLine="720"/>
        <w:rPr>
          <w:sz w:val="22"/>
          <w:szCs w:val="22"/>
        </w:rPr>
      </w:pPr>
      <w:r w:rsidRPr="00C25A28">
        <w:rPr>
          <w:i/>
          <w:sz w:val="22"/>
          <w:szCs w:val="22"/>
        </w:rPr>
        <w:t>‘like they fitted in’</w:t>
      </w:r>
    </w:p>
    <w:p w:rsidR="00914EA1" w:rsidRPr="00C25A28" w:rsidRDefault="00590AF5" w:rsidP="00C03EA7">
      <w:pPr>
        <w:spacing w:line="240" w:lineRule="auto"/>
        <w:rPr>
          <w:sz w:val="22"/>
          <w:szCs w:val="22"/>
        </w:rPr>
      </w:pPr>
      <w:r w:rsidRPr="00C25A28">
        <w:rPr>
          <w:sz w:val="22"/>
          <w:szCs w:val="22"/>
        </w:rPr>
        <w:t xml:space="preserve">Enhanced </w:t>
      </w:r>
      <w:r w:rsidR="00CB3245" w:rsidRPr="00C25A28">
        <w:rPr>
          <w:sz w:val="22"/>
          <w:szCs w:val="22"/>
        </w:rPr>
        <w:t xml:space="preserve">communication and </w:t>
      </w:r>
      <w:r w:rsidRPr="00C25A28">
        <w:rPr>
          <w:sz w:val="22"/>
          <w:szCs w:val="22"/>
        </w:rPr>
        <w:t>advertising of events and activities</w:t>
      </w:r>
      <w:r w:rsidR="00235452" w:rsidRPr="00C25A28">
        <w:rPr>
          <w:sz w:val="22"/>
          <w:szCs w:val="22"/>
        </w:rPr>
        <w:t>, involving students in decisions as to what could be offered and highlighting benefits to participation as part of advertising were also</w:t>
      </w:r>
      <w:r w:rsidR="00D21013" w:rsidRPr="00C25A28">
        <w:rPr>
          <w:sz w:val="22"/>
          <w:szCs w:val="22"/>
        </w:rPr>
        <w:t xml:space="preserve"> cited </w:t>
      </w:r>
      <w:r w:rsidR="001A5018" w:rsidRPr="00C25A28">
        <w:rPr>
          <w:sz w:val="22"/>
          <w:szCs w:val="22"/>
        </w:rPr>
        <w:t xml:space="preserve">by students </w:t>
      </w:r>
      <w:r w:rsidR="00D21013" w:rsidRPr="00C25A28">
        <w:rPr>
          <w:sz w:val="22"/>
          <w:szCs w:val="22"/>
        </w:rPr>
        <w:t>as</w:t>
      </w:r>
      <w:r w:rsidR="00235452" w:rsidRPr="00C25A28">
        <w:rPr>
          <w:sz w:val="22"/>
          <w:szCs w:val="22"/>
        </w:rPr>
        <w:t xml:space="preserve"> </w:t>
      </w:r>
      <w:r w:rsidR="001A5018" w:rsidRPr="00C25A28">
        <w:rPr>
          <w:sz w:val="22"/>
          <w:szCs w:val="22"/>
        </w:rPr>
        <w:t>factors</w:t>
      </w:r>
      <w:r w:rsidR="00235452" w:rsidRPr="00C25A28">
        <w:rPr>
          <w:sz w:val="22"/>
          <w:szCs w:val="22"/>
        </w:rPr>
        <w:t xml:space="preserve"> that could improve engagement</w:t>
      </w:r>
      <w:r w:rsidR="00E260DC" w:rsidRPr="00C25A28">
        <w:rPr>
          <w:sz w:val="22"/>
          <w:szCs w:val="22"/>
        </w:rPr>
        <w:t>, as were greater choice and frequency of events.</w:t>
      </w:r>
    </w:p>
    <w:p w:rsidR="00235452" w:rsidRPr="00C25A28" w:rsidRDefault="001A5018" w:rsidP="00C03EA7">
      <w:pPr>
        <w:spacing w:line="240" w:lineRule="auto"/>
        <w:rPr>
          <w:sz w:val="22"/>
          <w:szCs w:val="22"/>
        </w:rPr>
      </w:pPr>
      <w:r w:rsidRPr="00C25A28">
        <w:rPr>
          <w:sz w:val="22"/>
          <w:szCs w:val="22"/>
        </w:rPr>
        <w:t>Other b</w:t>
      </w:r>
      <w:r w:rsidR="00235452" w:rsidRPr="00C25A28">
        <w:rPr>
          <w:sz w:val="22"/>
          <w:szCs w:val="22"/>
        </w:rPr>
        <w:t xml:space="preserve">arriers to engagement frequently </w:t>
      </w:r>
      <w:r w:rsidR="00D21013" w:rsidRPr="00C25A28">
        <w:rPr>
          <w:sz w:val="22"/>
          <w:szCs w:val="22"/>
        </w:rPr>
        <w:t>related to</w:t>
      </w:r>
      <w:r w:rsidR="00235452" w:rsidRPr="00C25A28">
        <w:rPr>
          <w:sz w:val="22"/>
          <w:szCs w:val="22"/>
        </w:rPr>
        <w:t xml:space="preserve"> ‘life’, which included ‘personal affairs’ and family commitments, often exacerbated by distance and the need to travel to the campus.</w:t>
      </w:r>
      <w:r w:rsidR="0051609C" w:rsidRPr="00C25A28">
        <w:rPr>
          <w:sz w:val="22"/>
          <w:szCs w:val="22"/>
        </w:rPr>
        <w:t xml:space="preserve"> Equally, for a self-identifying commuter student, engagement in existing local sports meant that they had little time to participate in sport at the university. Lack of time and ‘heavy workload’ were also mentioned, although it is not clear whether this referred to academic work or paid employment. Cost also featured</w:t>
      </w:r>
      <w:r w:rsidR="009A74AB" w:rsidRPr="00C25A28">
        <w:rPr>
          <w:sz w:val="22"/>
          <w:szCs w:val="22"/>
        </w:rPr>
        <w:t xml:space="preserve"> as a barrier</w:t>
      </w:r>
      <w:r w:rsidR="00E260DC" w:rsidRPr="00C25A28">
        <w:rPr>
          <w:sz w:val="22"/>
          <w:szCs w:val="22"/>
        </w:rPr>
        <w:t>. T</w:t>
      </w:r>
      <w:r w:rsidR="0051609C" w:rsidRPr="00C25A28">
        <w:rPr>
          <w:sz w:val="22"/>
          <w:szCs w:val="22"/>
        </w:rPr>
        <w:t xml:space="preserve">he </w:t>
      </w:r>
      <w:r w:rsidR="0051609C" w:rsidRPr="00C25A28">
        <w:rPr>
          <w:i/>
          <w:sz w:val="22"/>
          <w:szCs w:val="22"/>
        </w:rPr>
        <w:t>Bucks Big Deal</w:t>
      </w:r>
      <w:r w:rsidR="009A74AB" w:rsidRPr="00C25A28">
        <w:rPr>
          <w:sz w:val="22"/>
          <w:szCs w:val="22"/>
        </w:rPr>
        <w:t xml:space="preserve"> initiative </w:t>
      </w:r>
      <w:r w:rsidR="009A74AB" w:rsidRPr="00C25A28">
        <w:rPr>
          <w:sz w:val="22"/>
          <w:szCs w:val="22"/>
        </w:rPr>
        <w:fldChar w:fldCharType="begin" w:fldLock="1"/>
      </w:r>
      <w:r w:rsidR="009A74AB" w:rsidRPr="00C25A28">
        <w:rPr>
          <w:sz w:val="22"/>
          <w:szCs w:val="22"/>
        </w:rPr>
        <w:instrText>ADDIN CSL_CITATION { "citationItems" : [ { "id" : "ITEM-1", "itemData" : { "URL" : "https://www.bucksstudentsunion.org/activities/thebigdeal/", "accessed" : { "date-parts" : [ [ "2017", "5", "12" ] ] }, "author" : [ { "dropping-particle" : "", "family" : "Bucks Students' Union", "given" : "", "non-dropping-particle" : "", "parse-names" : false, "suffix" : "" } ], "id" : "ITEM-1", "issued" : { "date-parts" : [ [ "2017" ] ] }, "title" : "The Big Deal", "type" : "webpage" }, "uris" : [ "http://www.mendeley.com/documents/?uuid=b079bd8b-187b-3659-a775-1a0de35e75d9" ] } ], "mendeley" : { "formattedCitation" : "(Bucks Students\u2019 Union, 2017)", "plainTextFormattedCitation" : "(Bucks Students\u2019 Union, 2017)", "previouslyFormattedCitation" : "(Bucks Students\u2019 Union, 2017)" }, "properties" : { "noteIndex" : 0 }, "schema" : "https://github.com/citation-style-language/schema/raw/master/csl-citation.json" }</w:instrText>
      </w:r>
      <w:r w:rsidR="009A74AB" w:rsidRPr="00C25A28">
        <w:rPr>
          <w:sz w:val="22"/>
          <w:szCs w:val="22"/>
        </w:rPr>
        <w:fldChar w:fldCharType="separate"/>
      </w:r>
      <w:r w:rsidR="009A74AB" w:rsidRPr="00C25A28">
        <w:rPr>
          <w:noProof/>
          <w:sz w:val="22"/>
          <w:szCs w:val="22"/>
        </w:rPr>
        <w:t>(Bucks Students’ Union, 2017)</w:t>
      </w:r>
      <w:r w:rsidR="009A74AB" w:rsidRPr="00C25A28">
        <w:rPr>
          <w:sz w:val="22"/>
          <w:szCs w:val="22"/>
        </w:rPr>
        <w:fldChar w:fldCharType="end"/>
      </w:r>
      <w:r w:rsidR="00E260DC" w:rsidRPr="00C25A28">
        <w:rPr>
          <w:sz w:val="22"/>
          <w:szCs w:val="22"/>
        </w:rPr>
        <w:t xml:space="preserve"> means that</w:t>
      </w:r>
      <w:r w:rsidR="009A74AB" w:rsidRPr="00C25A28">
        <w:rPr>
          <w:sz w:val="22"/>
          <w:szCs w:val="22"/>
        </w:rPr>
        <w:t xml:space="preserve"> all students’ union activities are free</w:t>
      </w:r>
      <w:r w:rsidR="00E260DC" w:rsidRPr="00C25A28">
        <w:rPr>
          <w:sz w:val="22"/>
          <w:szCs w:val="22"/>
        </w:rPr>
        <w:t xml:space="preserve">, although some equipment and uniforms do require </w:t>
      </w:r>
      <w:r w:rsidR="00D21013" w:rsidRPr="00C25A28">
        <w:rPr>
          <w:sz w:val="22"/>
          <w:szCs w:val="22"/>
        </w:rPr>
        <w:t xml:space="preserve">a </w:t>
      </w:r>
      <w:r w:rsidR="00E260DC" w:rsidRPr="00C25A28">
        <w:rPr>
          <w:sz w:val="22"/>
          <w:szCs w:val="22"/>
        </w:rPr>
        <w:t>financial contribution from students.</w:t>
      </w:r>
      <w:r w:rsidR="00E11B46" w:rsidRPr="00C25A28">
        <w:rPr>
          <w:sz w:val="22"/>
          <w:szCs w:val="22"/>
        </w:rPr>
        <w:t xml:space="preserve"> As an inverse to the motivational aspect of peer engagement</w:t>
      </w:r>
      <w:r w:rsidR="000475CC" w:rsidRPr="00C25A28">
        <w:rPr>
          <w:sz w:val="22"/>
          <w:szCs w:val="22"/>
        </w:rPr>
        <w:t xml:space="preserve"> in encouraging participation</w:t>
      </w:r>
      <w:r w:rsidR="00E11B46" w:rsidRPr="00C25A28">
        <w:rPr>
          <w:sz w:val="22"/>
          <w:szCs w:val="22"/>
        </w:rPr>
        <w:t xml:space="preserve">, one </w:t>
      </w:r>
      <w:r w:rsidR="00E11B46" w:rsidRPr="00C25A28">
        <w:rPr>
          <w:sz w:val="22"/>
          <w:szCs w:val="22"/>
        </w:rPr>
        <w:lastRenderedPageBreak/>
        <w:t xml:space="preserve">student outlined at length how </w:t>
      </w:r>
      <w:r w:rsidRPr="00C25A28">
        <w:rPr>
          <w:sz w:val="22"/>
          <w:szCs w:val="22"/>
        </w:rPr>
        <w:t xml:space="preserve">they felt that </w:t>
      </w:r>
      <w:r w:rsidR="000475CC" w:rsidRPr="00C25A28">
        <w:rPr>
          <w:sz w:val="22"/>
          <w:szCs w:val="22"/>
        </w:rPr>
        <w:t>engagement had been impeded by the poor behaviour and attitudes of fellow students.</w:t>
      </w:r>
    </w:p>
    <w:p w:rsidR="000475CC" w:rsidRPr="00C25A28" w:rsidRDefault="000475CC" w:rsidP="00C03EA7">
      <w:pPr>
        <w:spacing w:line="240" w:lineRule="auto"/>
        <w:rPr>
          <w:sz w:val="22"/>
          <w:szCs w:val="22"/>
        </w:rPr>
      </w:pPr>
      <w:r w:rsidRPr="00C25A28">
        <w:rPr>
          <w:sz w:val="22"/>
          <w:szCs w:val="22"/>
        </w:rPr>
        <w:t>Of the small group of participants</w:t>
      </w:r>
      <w:r w:rsidR="00720D24" w:rsidRPr="00C25A28">
        <w:rPr>
          <w:sz w:val="22"/>
          <w:szCs w:val="22"/>
        </w:rPr>
        <w:t xml:space="preserve"> in the survey</w:t>
      </w:r>
      <w:r w:rsidRPr="00C25A28">
        <w:rPr>
          <w:sz w:val="22"/>
          <w:szCs w:val="22"/>
        </w:rPr>
        <w:t>, around 60% felt that they ‘belonged’ or ‘partly belonged’ to the university</w:t>
      </w:r>
      <w:r w:rsidR="0003390D" w:rsidRPr="00C25A28">
        <w:rPr>
          <w:sz w:val="22"/>
          <w:szCs w:val="22"/>
        </w:rPr>
        <w:t xml:space="preserve"> and around 45% felt that being a student at the university informed or partly informed their sense of identity</w:t>
      </w:r>
      <w:r w:rsidR="00806630" w:rsidRPr="00C25A28">
        <w:rPr>
          <w:sz w:val="22"/>
          <w:szCs w:val="22"/>
        </w:rPr>
        <w:t>. Welcoming, committed staff and fellow students and a ‘sense of community’ were factors which were felt to promote belonging</w:t>
      </w:r>
      <w:r w:rsidR="00720D24" w:rsidRPr="00C25A28">
        <w:rPr>
          <w:sz w:val="22"/>
          <w:szCs w:val="22"/>
        </w:rPr>
        <w:t xml:space="preserve"> but</w:t>
      </w:r>
      <w:r w:rsidR="0003390D" w:rsidRPr="00C25A28">
        <w:rPr>
          <w:sz w:val="22"/>
          <w:szCs w:val="22"/>
        </w:rPr>
        <w:t xml:space="preserve">, where there were issues with these, could have the opposite effect. Participation in university teams and wearing a branded uniform on placement were also strongly linked with belonging as was seeing that feedback in quality assurance processes had been listened to and acted upon. </w:t>
      </w:r>
      <w:r w:rsidR="004E7D77" w:rsidRPr="00C25A28">
        <w:rPr>
          <w:sz w:val="22"/>
          <w:szCs w:val="22"/>
        </w:rPr>
        <w:t>Distance from the university, the sense of being peripheral at an underserved secondary campus</w:t>
      </w:r>
      <w:r w:rsidR="0003390D" w:rsidRPr="00C25A28">
        <w:rPr>
          <w:sz w:val="22"/>
          <w:szCs w:val="22"/>
        </w:rPr>
        <w:t xml:space="preserve"> </w:t>
      </w:r>
      <w:r w:rsidR="004E7D77" w:rsidRPr="00C25A28">
        <w:rPr>
          <w:sz w:val="22"/>
          <w:szCs w:val="22"/>
        </w:rPr>
        <w:t xml:space="preserve">and inflexible institutional practices that were felt to conspire against </w:t>
      </w:r>
      <w:r w:rsidR="00FA44E2" w:rsidRPr="00C25A28">
        <w:rPr>
          <w:sz w:val="22"/>
          <w:szCs w:val="22"/>
        </w:rPr>
        <w:t xml:space="preserve">‘non-standard’ </w:t>
      </w:r>
      <w:r w:rsidR="004E7D77" w:rsidRPr="00C25A28">
        <w:rPr>
          <w:sz w:val="22"/>
          <w:szCs w:val="22"/>
        </w:rPr>
        <w:t>students</w:t>
      </w:r>
      <w:r w:rsidR="00FA44E2" w:rsidRPr="00C25A28">
        <w:rPr>
          <w:sz w:val="22"/>
          <w:szCs w:val="22"/>
        </w:rPr>
        <w:t>, for example, those</w:t>
      </w:r>
      <w:r w:rsidR="004E7D77" w:rsidRPr="00C25A28">
        <w:rPr>
          <w:sz w:val="22"/>
          <w:szCs w:val="22"/>
        </w:rPr>
        <w:t xml:space="preserve"> who were on placement</w:t>
      </w:r>
      <w:r w:rsidR="00FA44E2" w:rsidRPr="00C25A28">
        <w:rPr>
          <w:sz w:val="22"/>
          <w:szCs w:val="22"/>
        </w:rPr>
        <w:t>,</w:t>
      </w:r>
      <w:r w:rsidR="004E7D77" w:rsidRPr="00C25A28">
        <w:rPr>
          <w:sz w:val="22"/>
          <w:szCs w:val="22"/>
        </w:rPr>
        <w:t xml:space="preserve"> were cited as barriers to belonging and identity development. Given the small number who responded to the questionnaire, it is perhaps telling</w:t>
      </w:r>
      <w:r w:rsidR="00FA44E2" w:rsidRPr="00C25A28">
        <w:rPr>
          <w:sz w:val="22"/>
          <w:szCs w:val="22"/>
        </w:rPr>
        <w:t xml:space="preserve">, although in keeping with current concerns </w:t>
      </w:r>
      <w:r w:rsidR="007965FF" w:rsidRPr="00C25A28">
        <w:rPr>
          <w:sz w:val="22"/>
          <w:szCs w:val="22"/>
        </w:rPr>
        <w:t>with regard to</w:t>
      </w:r>
      <w:r w:rsidR="00FA44E2" w:rsidRPr="00C25A28">
        <w:rPr>
          <w:sz w:val="22"/>
          <w:szCs w:val="22"/>
        </w:rPr>
        <w:t xml:space="preserve"> the instances of mental health issues in higher education students </w:t>
      </w:r>
      <w:r w:rsidR="002B2A12" w:rsidRPr="00C25A28">
        <w:rPr>
          <w:sz w:val="22"/>
          <w:szCs w:val="22"/>
        </w:rPr>
        <w:fldChar w:fldCharType="begin" w:fldLock="1"/>
      </w:r>
      <w:r w:rsidR="00240352" w:rsidRPr="00C25A28">
        <w:rPr>
          <w:sz w:val="22"/>
          <w:szCs w:val="22"/>
        </w:rPr>
        <w:instrText>ADDIN CSL_CITATION { "citationItems" : [ { "id" : "ITEM-1", "itemData" : { "author" : [ { "dropping-particle" : "", "family" : "Universities UK", "given" : "", "non-dropping-particle" : "", "parse-names" : false, "suffix" : "" } ], "id" : "ITEM-1", "issued" : { "date-parts" : [ [ "2015" ] ] }, "publisher" : "Universities UK", "publisher-place" : "London", "title" : "Student mental wellbeing in higher education: good practice guide", "type" : "book" }, "uris" : [ "http://www.mendeley.com/documents/?uuid=8a0914fc-98ac-3d81-876c-24ce8d488fb8" ] } ], "mendeley" : { "formattedCitation" : "(Universities UK, 2015)", "plainTextFormattedCitation" : "(Universities UK, 2015)", "previouslyFormattedCitation" : "(Universities UK, 2015)" }, "properties" : { "noteIndex" : 0 }, "schema" : "https://github.com/citation-style-language/schema/raw/master/csl-citation.json" }</w:instrText>
      </w:r>
      <w:r w:rsidR="002B2A12" w:rsidRPr="00C25A28">
        <w:rPr>
          <w:sz w:val="22"/>
          <w:szCs w:val="22"/>
        </w:rPr>
        <w:fldChar w:fldCharType="separate"/>
      </w:r>
      <w:r w:rsidR="002B2A12" w:rsidRPr="00C25A28">
        <w:rPr>
          <w:noProof/>
          <w:sz w:val="22"/>
          <w:szCs w:val="22"/>
        </w:rPr>
        <w:t>(Universities UK, 2015)</w:t>
      </w:r>
      <w:r w:rsidR="002B2A12" w:rsidRPr="00C25A28">
        <w:rPr>
          <w:sz w:val="22"/>
          <w:szCs w:val="22"/>
        </w:rPr>
        <w:fldChar w:fldCharType="end"/>
      </w:r>
      <w:r w:rsidR="00FA44E2" w:rsidRPr="00C25A28">
        <w:rPr>
          <w:sz w:val="22"/>
          <w:szCs w:val="22"/>
        </w:rPr>
        <w:t>,</w:t>
      </w:r>
      <w:r w:rsidR="004E7D77" w:rsidRPr="00C25A28">
        <w:rPr>
          <w:sz w:val="22"/>
          <w:szCs w:val="22"/>
        </w:rPr>
        <w:t xml:space="preserve"> that two </w:t>
      </w:r>
      <w:r w:rsidR="00FA44E2" w:rsidRPr="00C25A28">
        <w:rPr>
          <w:sz w:val="22"/>
          <w:szCs w:val="22"/>
        </w:rPr>
        <w:t>respondents</w:t>
      </w:r>
      <w:r w:rsidR="004E7D77" w:rsidRPr="00C25A28">
        <w:rPr>
          <w:sz w:val="22"/>
          <w:szCs w:val="22"/>
        </w:rPr>
        <w:t xml:space="preserve"> mentioned having to deal with the ch</w:t>
      </w:r>
      <w:r w:rsidR="001A5018" w:rsidRPr="00C25A28">
        <w:rPr>
          <w:sz w:val="22"/>
          <w:szCs w:val="22"/>
        </w:rPr>
        <w:t>allenge of mental health issues.</w:t>
      </w:r>
      <w:r w:rsidR="004E7D77" w:rsidRPr="00C25A28">
        <w:rPr>
          <w:sz w:val="22"/>
          <w:szCs w:val="22"/>
        </w:rPr>
        <w:t xml:space="preserve"> </w:t>
      </w:r>
      <w:r w:rsidR="001A5018" w:rsidRPr="00C25A28">
        <w:rPr>
          <w:sz w:val="22"/>
          <w:szCs w:val="22"/>
        </w:rPr>
        <w:t>I</w:t>
      </w:r>
      <w:r w:rsidR="00FA44E2" w:rsidRPr="00C25A28">
        <w:rPr>
          <w:sz w:val="22"/>
          <w:szCs w:val="22"/>
        </w:rPr>
        <w:t xml:space="preserve">n </w:t>
      </w:r>
      <w:r w:rsidR="001A5018" w:rsidRPr="00C25A28">
        <w:rPr>
          <w:sz w:val="22"/>
          <w:szCs w:val="22"/>
        </w:rPr>
        <w:t xml:space="preserve">these cases, </w:t>
      </w:r>
      <w:r w:rsidR="004E7D77" w:rsidRPr="00C25A28">
        <w:rPr>
          <w:sz w:val="22"/>
          <w:szCs w:val="22"/>
        </w:rPr>
        <w:t>distance from the institution</w:t>
      </w:r>
      <w:r w:rsidR="001A5018" w:rsidRPr="00C25A28">
        <w:rPr>
          <w:sz w:val="22"/>
          <w:szCs w:val="22"/>
        </w:rPr>
        <w:t xml:space="preserve"> and sources of support</w:t>
      </w:r>
      <w:r w:rsidR="004E7D77" w:rsidRPr="00C25A28">
        <w:rPr>
          <w:sz w:val="22"/>
          <w:szCs w:val="22"/>
        </w:rPr>
        <w:t xml:space="preserve"> and </w:t>
      </w:r>
      <w:r w:rsidR="00FA44E2" w:rsidRPr="00C25A28">
        <w:rPr>
          <w:sz w:val="22"/>
          <w:szCs w:val="22"/>
        </w:rPr>
        <w:t xml:space="preserve">aspects of their course were cited as </w:t>
      </w:r>
      <w:r w:rsidR="001A5018" w:rsidRPr="00C25A28">
        <w:rPr>
          <w:sz w:val="22"/>
          <w:szCs w:val="22"/>
        </w:rPr>
        <w:t xml:space="preserve">exacerbating </w:t>
      </w:r>
      <w:r w:rsidR="00FA44E2" w:rsidRPr="00C25A28">
        <w:rPr>
          <w:sz w:val="22"/>
          <w:szCs w:val="22"/>
        </w:rPr>
        <w:t>factors.</w:t>
      </w:r>
    </w:p>
    <w:p w:rsidR="00312A76" w:rsidRPr="00C25A28" w:rsidRDefault="000B60C2" w:rsidP="00C03EA7">
      <w:pPr>
        <w:spacing w:line="240" w:lineRule="auto"/>
        <w:rPr>
          <w:sz w:val="22"/>
          <w:szCs w:val="22"/>
        </w:rPr>
      </w:pPr>
      <w:r w:rsidRPr="00C25A28">
        <w:rPr>
          <w:sz w:val="22"/>
          <w:szCs w:val="22"/>
        </w:rPr>
        <w:t>T</w:t>
      </w:r>
      <w:r w:rsidR="00312A76" w:rsidRPr="00C25A28">
        <w:rPr>
          <w:sz w:val="22"/>
          <w:szCs w:val="22"/>
        </w:rPr>
        <w:t xml:space="preserve">o </w:t>
      </w:r>
      <w:r w:rsidR="0094761A" w:rsidRPr="00C25A28">
        <w:rPr>
          <w:sz w:val="22"/>
          <w:szCs w:val="22"/>
        </w:rPr>
        <w:t>generate further data</w:t>
      </w:r>
      <w:r w:rsidRPr="00C25A28">
        <w:rPr>
          <w:sz w:val="22"/>
          <w:szCs w:val="22"/>
        </w:rPr>
        <w:t xml:space="preserve">, </w:t>
      </w:r>
      <w:r w:rsidR="00E30252" w:rsidRPr="00C25A28">
        <w:rPr>
          <w:sz w:val="22"/>
          <w:szCs w:val="22"/>
        </w:rPr>
        <w:t xml:space="preserve">a consultation was held </w:t>
      </w:r>
      <w:r w:rsidR="001A5018" w:rsidRPr="00C25A28">
        <w:rPr>
          <w:sz w:val="22"/>
          <w:szCs w:val="22"/>
        </w:rPr>
        <w:t xml:space="preserve">with 14 students </w:t>
      </w:r>
      <w:r w:rsidR="00E30252" w:rsidRPr="00C25A28">
        <w:rPr>
          <w:sz w:val="22"/>
          <w:szCs w:val="22"/>
        </w:rPr>
        <w:t>at a student representative</w:t>
      </w:r>
      <w:r w:rsidR="001A5018" w:rsidRPr="00C25A28">
        <w:rPr>
          <w:sz w:val="22"/>
          <w:szCs w:val="22"/>
        </w:rPr>
        <w:t xml:space="preserve"> conference</w:t>
      </w:r>
      <w:r w:rsidR="00E30252" w:rsidRPr="00C25A28">
        <w:rPr>
          <w:sz w:val="22"/>
          <w:szCs w:val="22"/>
        </w:rPr>
        <w:t>. Student representatives</w:t>
      </w:r>
      <w:r w:rsidRPr="00C25A28">
        <w:rPr>
          <w:sz w:val="22"/>
          <w:szCs w:val="22"/>
        </w:rPr>
        <w:t xml:space="preserve"> act as points of contact for fellow students on course related issues which they feed</w:t>
      </w:r>
      <w:r w:rsidR="00303805" w:rsidRPr="00C25A28">
        <w:rPr>
          <w:sz w:val="22"/>
          <w:szCs w:val="22"/>
        </w:rPr>
        <w:t xml:space="preserve"> </w:t>
      </w:r>
      <w:r w:rsidRPr="00C25A28">
        <w:rPr>
          <w:sz w:val="22"/>
          <w:szCs w:val="22"/>
        </w:rPr>
        <w:t>back to the university in a range of</w:t>
      </w:r>
      <w:r w:rsidR="00623788" w:rsidRPr="00C25A28">
        <w:rPr>
          <w:sz w:val="22"/>
          <w:szCs w:val="22"/>
        </w:rPr>
        <w:t xml:space="preserve"> </w:t>
      </w:r>
      <w:r w:rsidRPr="00C25A28">
        <w:rPr>
          <w:sz w:val="22"/>
          <w:szCs w:val="22"/>
        </w:rPr>
        <w:t>forums, meetings and panels as part of institutional monitoring and quality assurance processes.</w:t>
      </w:r>
      <w:r w:rsidR="001826E6" w:rsidRPr="00C25A28">
        <w:rPr>
          <w:sz w:val="22"/>
          <w:szCs w:val="22"/>
        </w:rPr>
        <w:t xml:space="preserve"> A small consideration of £100 is paid to students who fulfil their responsibilities over the course of the academic year</w:t>
      </w:r>
      <w:r w:rsidR="00B6617D" w:rsidRPr="00C25A28">
        <w:rPr>
          <w:sz w:val="22"/>
          <w:szCs w:val="22"/>
        </w:rPr>
        <w:t>, but they are, in essence, volunteers</w:t>
      </w:r>
      <w:r w:rsidR="001826E6" w:rsidRPr="00C25A28">
        <w:rPr>
          <w:sz w:val="22"/>
          <w:szCs w:val="22"/>
        </w:rPr>
        <w:t>.</w:t>
      </w:r>
      <w:r w:rsidRPr="00C25A28">
        <w:rPr>
          <w:sz w:val="22"/>
          <w:szCs w:val="22"/>
        </w:rPr>
        <w:t xml:space="preserve"> As such, they can be considered ‘super-engaged’. </w:t>
      </w:r>
      <w:r w:rsidR="00623788" w:rsidRPr="00C25A28">
        <w:rPr>
          <w:sz w:val="22"/>
          <w:szCs w:val="22"/>
        </w:rPr>
        <w:t>Many of their general comments were not out of keeping with those gathered via the questionnaire, pointing to the barriers of timetabling and other commitments, including family, work and outside interests. Lack of engagement by other students</w:t>
      </w:r>
      <w:r w:rsidR="00264DF5" w:rsidRPr="00C25A28">
        <w:rPr>
          <w:sz w:val="22"/>
          <w:szCs w:val="22"/>
        </w:rPr>
        <w:t>,</w:t>
      </w:r>
      <w:r w:rsidR="00623788" w:rsidRPr="00C25A28">
        <w:rPr>
          <w:sz w:val="22"/>
          <w:szCs w:val="22"/>
        </w:rPr>
        <w:t xml:space="preserve"> and staff who</w:t>
      </w:r>
      <w:r w:rsidR="005A3649" w:rsidRPr="00C25A28">
        <w:rPr>
          <w:sz w:val="22"/>
          <w:szCs w:val="22"/>
        </w:rPr>
        <w:t xml:space="preserve"> </w:t>
      </w:r>
      <w:r w:rsidR="00623788" w:rsidRPr="00C25A28">
        <w:rPr>
          <w:sz w:val="22"/>
          <w:szCs w:val="22"/>
        </w:rPr>
        <w:t>were perceived to be under-engaged</w:t>
      </w:r>
      <w:r w:rsidR="00264DF5" w:rsidRPr="00C25A28">
        <w:rPr>
          <w:sz w:val="22"/>
          <w:szCs w:val="22"/>
        </w:rPr>
        <w:t>,</w:t>
      </w:r>
      <w:r w:rsidR="00623788" w:rsidRPr="00C25A28">
        <w:rPr>
          <w:sz w:val="22"/>
          <w:szCs w:val="22"/>
        </w:rPr>
        <w:t xml:space="preserve"> were also seen as demotivating factors</w:t>
      </w:r>
      <w:r w:rsidR="005A3649" w:rsidRPr="00C25A28">
        <w:rPr>
          <w:sz w:val="22"/>
          <w:szCs w:val="22"/>
        </w:rPr>
        <w:t>. The importance of academic engagement, as well as social, was also cited.</w:t>
      </w:r>
      <w:r w:rsidR="008278A2" w:rsidRPr="00C25A28">
        <w:rPr>
          <w:sz w:val="22"/>
          <w:szCs w:val="22"/>
        </w:rPr>
        <w:t xml:space="preserve"> However, </w:t>
      </w:r>
      <w:r w:rsidR="00623788" w:rsidRPr="00C25A28">
        <w:rPr>
          <w:sz w:val="22"/>
          <w:szCs w:val="22"/>
        </w:rPr>
        <w:t xml:space="preserve">in contrast to the questionnaire results, much emphasis was given to the benefits of engagement in terms of </w:t>
      </w:r>
      <w:r w:rsidR="008278A2" w:rsidRPr="00C25A28">
        <w:rPr>
          <w:sz w:val="22"/>
          <w:szCs w:val="22"/>
        </w:rPr>
        <w:t>what they got out of their experience. This was seen in extrinsic terms, such as enhancing employability, ‘looking good’ on their CVs and developing skills, and intrinsically in terms of</w:t>
      </w:r>
      <w:r w:rsidR="003A2586" w:rsidRPr="00C25A28">
        <w:rPr>
          <w:sz w:val="22"/>
          <w:szCs w:val="22"/>
        </w:rPr>
        <w:t xml:space="preserve"> personal</w:t>
      </w:r>
      <w:r w:rsidR="008278A2" w:rsidRPr="00C25A28">
        <w:rPr>
          <w:sz w:val="22"/>
          <w:szCs w:val="22"/>
        </w:rPr>
        <w:t xml:space="preserve"> ‘reward’, </w:t>
      </w:r>
      <w:r w:rsidR="003A2586" w:rsidRPr="00C25A28">
        <w:rPr>
          <w:sz w:val="22"/>
          <w:szCs w:val="22"/>
        </w:rPr>
        <w:t xml:space="preserve">‘making change’, </w:t>
      </w:r>
      <w:r w:rsidR="008278A2" w:rsidRPr="00C25A28">
        <w:rPr>
          <w:sz w:val="22"/>
          <w:szCs w:val="22"/>
        </w:rPr>
        <w:t>and wanting to get as much from their university experience as possible. P</w:t>
      </w:r>
      <w:r w:rsidRPr="00C25A28">
        <w:rPr>
          <w:sz w:val="22"/>
          <w:szCs w:val="22"/>
        </w:rPr>
        <w:t xml:space="preserve">erhaps unsurprisingly, </w:t>
      </w:r>
      <w:r w:rsidR="003A2586" w:rsidRPr="00C25A28">
        <w:rPr>
          <w:sz w:val="22"/>
          <w:szCs w:val="22"/>
        </w:rPr>
        <w:t xml:space="preserve">though, </w:t>
      </w:r>
      <w:r w:rsidRPr="00C25A28">
        <w:rPr>
          <w:sz w:val="22"/>
          <w:szCs w:val="22"/>
        </w:rPr>
        <w:t>their comments were domina</w:t>
      </w:r>
      <w:r w:rsidR="00623788" w:rsidRPr="00C25A28">
        <w:rPr>
          <w:sz w:val="22"/>
          <w:szCs w:val="22"/>
        </w:rPr>
        <w:t xml:space="preserve">ted by a preoccupation with </w:t>
      </w:r>
      <w:r w:rsidR="008278A2" w:rsidRPr="00C25A28">
        <w:rPr>
          <w:sz w:val="22"/>
          <w:szCs w:val="22"/>
        </w:rPr>
        <w:t>the</w:t>
      </w:r>
      <w:r w:rsidR="00623788" w:rsidRPr="00C25A28">
        <w:rPr>
          <w:sz w:val="22"/>
          <w:szCs w:val="22"/>
        </w:rPr>
        <w:t xml:space="preserve"> </w:t>
      </w:r>
      <w:r w:rsidR="008278A2" w:rsidRPr="00C25A28">
        <w:rPr>
          <w:sz w:val="22"/>
          <w:szCs w:val="22"/>
        </w:rPr>
        <w:t>university processes with which they were so closely involved</w:t>
      </w:r>
      <w:r w:rsidR="003A2586" w:rsidRPr="00C25A28">
        <w:rPr>
          <w:sz w:val="22"/>
          <w:szCs w:val="22"/>
        </w:rPr>
        <w:t>. A</w:t>
      </w:r>
      <w:r w:rsidR="008278A2" w:rsidRPr="00C25A28">
        <w:rPr>
          <w:sz w:val="22"/>
          <w:szCs w:val="22"/>
        </w:rPr>
        <w:t xml:space="preserve"> common theme</w:t>
      </w:r>
      <w:r w:rsidR="001826E6" w:rsidRPr="00C25A28">
        <w:rPr>
          <w:sz w:val="22"/>
          <w:szCs w:val="22"/>
        </w:rPr>
        <w:t xml:space="preserve"> </w:t>
      </w:r>
      <w:r w:rsidR="008278A2" w:rsidRPr="00C25A28">
        <w:rPr>
          <w:sz w:val="22"/>
          <w:szCs w:val="22"/>
        </w:rPr>
        <w:t>arising from the consultation</w:t>
      </w:r>
      <w:r w:rsidR="001826E6" w:rsidRPr="00C25A28">
        <w:rPr>
          <w:sz w:val="22"/>
          <w:szCs w:val="22"/>
        </w:rPr>
        <w:t xml:space="preserve">, vociferously expressed, </w:t>
      </w:r>
      <w:r w:rsidR="008278A2" w:rsidRPr="00C25A28">
        <w:rPr>
          <w:sz w:val="22"/>
          <w:szCs w:val="22"/>
        </w:rPr>
        <w:t>was the im</w:t>
      </w:r>
      <w:r w:rsidR="003A2586" w:rsidRPr="00C25A28">
        <w:rPr>
          <w:sz w:val="22"/>
          <w:szCs w:val="22"/>
        </w:rPr>
        <w:t>portance of the university placing proper worth in students’ engagement with quality assurance processes by responding and being seen to respond to feedback from students. Failure by the university to engage in this way was seen as a major motivation for disengagement and a sense that the institution was insufficiently transparent and accountable to the student body.</w:t>
      </w:r>
      <w:r w:rsidR="00586C74" w:rsidRPr="00C25A28">
        <w:rPr>
          <w:sz w:val="22"/>
          <w:szCs w:val="22"/>
        </w:rPr>
        <w:t xml:space="preserve"> </w:t>
      </w:r>
    </w:p>
    <w:p w:rsidR="001B39C8" w:rsidRPr="00C25A28" w:rsidRDefault="002020E7" w:rsidP="00C03EA7">
      <w:pPr>
        <w:pStyle w:val="Heading1"/>
        <w:spacing w:line="240" w:lineRule="auto"/>
      </w:pPr>
      <w:r w:rsidRPr="00C25A28">
        <w:t>Lessons learnt so far and next steps</w:t>
      </w:r>
    </w:p>
    <w:p w:rsidR="00342ADA" w:rsidRPr="00C25A28" w:rsidRDefault="003A2586" w:rsidP="00C03334">
      <w:pPr>
        <w:spacing w:line="240" w:lineRule="auto"/>
        <w:rPr>
          <w:sz w:val="22"/>
          <w:szCs w:val="22"/>
        </w:rPr>
      </w:pPr>
      <w:r w:rsidRPr="00C25A28">
        <w:rPr>
          <w:sz w:val="22"/>
          <w:szCs w:val="22"/>
        </w:rPr>
        <w:t xml:space="preserve">As we are still involved in Cycle 2 and </w:t>
      </w:r>
      <w:r w:rsidR="005A3649" w:rsidRPr="00C25A28">
        <w:rPr>
          <w:sz w:val="22"/>
          <w:szCs w:val="22"/>
        </w:rPr>
        <w:t>developing further rounds of data collection</w:t>
      </w:r>
      <w:r w:rsidRPr="00C25A28">
        <w:rPr>
          <w:sz w:val="22"/>
          <w:szCs w:val="22"/>
        </w:rPr>
        <w:t>, it is difficult to draw firm conclusions</w:t>
      </w:r>
      <w:r w:rsidR="005A3649" w:rsidRPr="00C25A28">
        <w:rPr>
          <w:sz w:val="22"/>
          <w:szCs w:val="22"/>
        </w:rPr>
        <w:t xml:space="preserve"> at this stage. However, we do propose tentatively that high levels of engagement appear to correlate with lower rates of attrition</w:t>
      </w:r>
      <w:r w:rsidR="00264DF5" w:rsidRPr="00C25A28">
        <w:rPr>
          <w:sz w:val="22"/>
          <w:szCs w:val="22"/>
        </w:rPr>
        <w:t xml:space="preserve"> and</w:t>
      </w:r>
      <w:r w:rsidR="005A3649" w:rsidRPr="00C25A28">
        <w:rPr>
          <w:sz w:val="22"/>
          <w:szCs w:val="22"/>
        </w:rPr>
        <w:t xml:space="preserve"> retention and </w:t>
      </w:r>
      <w:r w:rsidR="00264DF5" w:rsidRPr="00C25A28">
        <w:rPr>
          <w:sz w:val="22"/>
          <w:szCs w:val="22"/>
        </w:rPr>
        <w:t xml:space="preserve">higher levels of </w:t>
      </w:r>
      <w:r w:rsidR="005A3649" w:rsidRPr="00C25A28">
        <w:rPr>
          <w:sz w:val="22"/>
          <w:szCs w:val="22"/>
        </w:rPr>
        <w:t xml:space="preserve">attainment, which would seem to validate findings in wider sector research </w:t>
      </w:r>
      <w:r w:rsidR="00512049" w:rsidRPr="00C25A28">
        <w:rPr>
          <w:sz w:val="22"/>
          <w:szCs w:val="22"/>
        </w:rPr>
        <w:fldChar w:fldCharType="begin" w:fldLock="1"/>
      </w:r>
      <w:r w:rsidR="00A161FA" w:rsidRPr="00C25A28">
        <w:rPr>
          <w:sz w:val="22"/>
          <w:szCs w:val="22"/>
        </w:rPr>
        <w:instrText>ADDIN CSL_CITATION { "citationItems" : [ { "id" : "ITEM-1", "itemData" : { "author" : [ { "dropping-particle" : "", "family" : "Thomas", "given" : "Liz", "non-dropping-particle" : "", "parse-names" : false, "suffix" : "" }, { "dropping-particle" : "", "family" : "Hill", "given" : "Michael", "non-dropping-particle" : "", "parse-names" : false, "suffix" : "" }, { "dropping-particle" : "", "family" : "O'Mahony", "given" : "Joan", "non-dropping-particle" : "", "parse-names" : false, "suffix" : "" }, { "dropping-particle" : "", "family" : "Yorke", "given" : "Mantz", "non-dropping-particle" : "", "parse-names" : false, "suffix" : "" } ], "id" : "ITEM-1", "issued" : { "date-parts" : [ [ "2017" ] ] }, "publisher" : "Paul Hamlyn Foundation", "publisher-place" : "London", "title" : "Supporting student success: strategies for institutional change What Works? Student Retention &amp; Success programme Final Report", "type" : "book" }, "uris" : [ "http://www.mendeley.com/documents/?uuid=bbce09c3-bd76-313d-839b-69ee0879082b" ] } ], "mendeley" : { "formattedCitation" : "(Thomas &lt;i&gt;et al.&lt;/i&gt;, 2017)", "plainTextFormattedCitation" : "(Thomas et al., 2017)", "previouslyFormattedCitation" : "(Thomas &lt;i&gt;et al.&lt;/i&gt;, 2017)" }, "properties" : { "noteIndex" : 0 }, "schema" : "https://github.com/citation-style-language/schema/raw/master/csl-citation.json" }</w:instrText>
      </w:r>
      <w:r w:rsidR="00512049" w:rsidRPr="00C25A28">
        <w:rPr>
          <w:sz w:val="22"/>
          <w:szCs w:val="22"/>
        </w:rPr>
        <w:fldChar w:fldCharType="separate"/>
      </w:r>
      <w:r w:rsidR="00512049" w:rsidRPr="00C25A28">
        <w:rPr>
          <w:noProof/>
          <w:sz w:val="22"/>
          <w:szCs w:val="22"/>
        </w:rPr>
        <w:t xml:space="preserve">(Thomas </w:t>
      </w:r>
      <w:r w:rsidR="00512049" w:rsidRPr="00C25A28">
        <w:rPr>
          <w:i/>
          <w:noProof/>
          <w:sz w:val="22"/>
          <w:szCs w:val="22"/>
        </w:rPr>
        <w:t>et al.</w:t>
      </w:r>
      <w:r w:rsidR="00512049" w:rsidRPr="00C25A28">
        <w:rPr>
          <w:noProof/>
          <w:sz w:val="22"/>
          <w:szCs w:val="22"/>
        </w:rPr>
        <w:t>, 2017)</w:t>
      </w:r>
      <w:r w:rsidR="00512049" w:rsidRPr="00C25A28">
        <w:rPr>
          <w:sz w:val="22"/>
          <w:szCs w:val="22"/>
        </w:rPr>
        <w:fldChar w:fldCharType="end"/>
      </w:r>
      <w:r w:rsidR="001B39C8" w:rsidRPr="00C25A28">
        <w:rPr>
          <w:sz w:val="22"/>
          <w:szCs w:val="22"/>
        </w:rPr>
        <w:t xml:space="preserve">. </w:t>
      </w:r>
      <w:r w:rsidR="002C4FAC" w:rsidRPr="00C25A28">
        <w:rPr>
          <w:sz w:val="22"/>
          <w:szCs w:val="22"/>
        </w:rPr>
        <w:t>O</w:t>
      </w:r>
      <w:r w:rsidR="001826E6" w:rsidRPr="00C25A28">
        <w:rPr>
          <w:sz w:val="22"/>
          <w:szCs w:val="22"/>
        </w:rPr>
        <w:t xml:space="preserve">ur findings to date </w:t>
      </w:r>
      <w:r w:rsidR="002C4FAC" w:rsidRPr="00C25A28">
        <w:rPr>
          <w:sz w:val="22"/>
          <w:szCs w:val="22"/>
        </w:rPr>
        <w:t xml:space="preserve">have also already pointed </w:t>
      </w:r>
      <w:r w:rsidR="001826E6" w:rsidRPr="00C25A28">
        <w:rPr>
          <w:sz w:val="22"/>
          <w:szCs w:val="22"/>
        </w:rPr>
        <w:t>to possible enhancements that may be useful to pursue as part of Cycle 3</w:t>
      </w:r>
      <w:r w:rsidR="00C03334" w:rsidRPr="00C25A28">
        <w:rPr>
          <w:sz w:val="22"/>
          <w:szCs w:val="22"/>
        </w:rPr>
        <w:t xml:space="preserve"> (</w:t>
      </w:r>
      <w:r w:rsidR="00C03EA7" w:rsidRPr="00C25A28">
        <w:rPr>
          <w:sz w:val="22"/>
          <w:szCs w:val="22"/>
        </w:rPr>
        <w:t>enhancements for engagement</w:t>
      </w:r>
      <w:r w:rsidR="00C03334" w:rsidRPr="00C25A28">
        <w:rPr>
          <w:sz w:val="22"/>
          <w:szCs w:val="22"/>
        </w:rPr>
        <w:t>)</w:t>
      </w:r>
      <w:r w:rsidR="00D62CA2" w:rsidRPr="00C25A28">
        <w:rPr>
          <w:sz w:val="22"/>
          <w:szCs w:val="22"/>
        </w:rPr>
        <w:t xml:space="preserve">. </w:t>
      </w:r>
      <w:r w:rsidR="00C03334" w:rsidRPr="00C25A28">
        <w:rPr>
          <w:sz w:val="22"/>
          <w:szCs w:val="22"/>
        </w:rPr>
        <w:t xml:space="preserve">These relate to the importance of effective communication and the fostering of a culture of meaningful engagement institutionally. </w:t>
      </w:r>
    </w:p>
    <w:p w:rsidR="00C03334" w:rsidRPr="00C25A28" w:rsidRDefault="00C03334" w:rsidP="00C03334">
      <w:pPr>
        <w:spacing w:line="240" w:lineRule="auto"/>
        <w:rPr>
          <w:sz w:val="22"/>
          <w:szCs w:val="22"/>
        </w:rPr>
      </w:pPr>
      <w:r w:rsidRPr="00C25A28">
        <w:rPr>
          <w:sz w:val="22"/>
          <w:szCs w:val="22"/>
        </w:rPr>
        <w:t xml:space="preserve">A key point that arose from our initial analysis is the importance of direct communication with students about opportunities of engagement, </w:t>
      </w:r>
      <w:r w:rsidR="001826E6" w:rsidRPr="00C25A28">
        <w:rPr>
          <w:sz w:val="22"/>
          <w:szCs w:val="22"/>
        </w:rPr>
        <w:t xml:space="preserve">along with </w:t>
      </w:r>
      <w:r w:rsidR="00B26EC2" w:rsidRPr="00C25A28">
        <w:rPr>
          <w:sz w:val="22"/>
          <w:szCs w:val="22"/>
        </w:rPr>
        <w:t>clear</w:t>
      </w:r>
      <w:r w:rsidR="001826E6" w:rsidRPr="00C25A28">
        <w:rPr>
          <w:sz w:val="22"/>
          <w:szCs w:val="22"/>
        </w:rPr>
        <w:t xml:space="preserve"> links to the benefits of </w:t>
      </w:r>
      <w:r w:rsidR="001826E6" w:rsidRPr="00C25A28">
        <w:rPr>
          <w:sz w:val="22"/>
          <w:szCs w:val="22"/>
        </w:rPr>
        <w:lastRenderedPageBreak/>
        <w:t xml:space="preserve">engaging, both in relation to their </w:t>
      </w:r>
      <w:r w:rsidR="00586C74" w:rsidRPr="00C25A28">
        <w:rPr>
          <w:sz w:val="22"/>
          <w:szCs w:val="22"/>
        </w:rPr>
        <w:t>personal development</w:t>
      </w:r>
      <w:r w:rsidR="00B26EC2" w:rsidRPr="00C25A28">
        <w:rPr>
          <w:sz w:val="22"/>
          <w:szCs w:val="22"/>
        </w:rPr>
        <w:t xml:space="preserve"> </w:t>
      </w:r>
      <w:r w:rsidR="00586C74" w:rsidRPr="00C25A28">
        <w:rPr>
          <w:sz w:val="22"/>
          <w:szCs w:val="22"/>
        </w:rPr>
        <w:t>and</w:t>
      </w:r>
      <w:r w:rsidR="001826E6" w:rsidRPr="00C25A28">
        <w:rPr>
          <w:sz w:val="22"/>
          <w:szCs w:val="22"/>
        </w:rPr>
        <w:t xml:space="preserve"> enhancing their employability </w:t>
      </w:r>
      <w:r w:rsidR="00586C74" w:rsidRPr="00C25A28">
        <w:rPr>
          <w:sz w:val="22"/>
          <w:szCs w:val="22"/>
        </w:rPr>
        <w:t xml:space="preserve">and related skills. </w:t>
      </w:r>
      <w:r w:rsidRPr="00C25A28">
        <w:rPr>
          <w:sz w:val="22"/>
          <w:szCs w:val="22"/>
        </w:rPr>
        <w:t>Unsurprisingly, students seem increasingly likely to ask themselves ‘what’s in it for me?’ when considering whether to invest their limited time and energies into activities that do not re</w:t>
      </w:r>
      <w:r w:rsidR="00B26EC2" w:rsidRPr="00C25A28">
        <w:rPr>
          <w:sz w:val="22"/>
          <w:szCs w:val="22"/>
        </w:rPr>
        <w:t xml:space="preserve">late directly to their courses. Information about opportunities for involvement in such activities should, therefore, be accompanied by explicitly mention of the potential positive impacts of engagement and the opportunities for development they provide, both in intrinsic and extrinsic terms. </w:t>
      </w:r>
    </w:p>
    <w:p w:rsidR="00342ADA" w:rsidRPr="00C25A28" w:rsidRDefault="00342ADA" w:rsidP="00C03334">
      <w:pPr>
        <w:spacing w:line="240" w:lineRule="auto"/>
        <w:rPr>
          <w:sz w:val="22"/>
          <w:szCs w:val="22"/>
        </w:rPr>
      </w:pPr>
      <w:r w:rsidRPr="00C25A28">
        <w:rPr>
          <w:sz w:val="22"/>
          <w:szCs w:val="22"/>
        </w:rPr>
        <w:t xml:space="preserve">In terms of fostering a culture of engagement, our findings point to the importance of making </w:t>
      </w:r>
      <w:r w:rsidR="00586C74" w:rsidRPr="00C25A28">
        <w:rPr>
          <w:sz w:val="22"/>
          <w:szCs w:val="22"/>
        </w:rPr>
        <w:t xml:space="preserve">the results of student-derived feedback into quality processes </w:t>
      </w:r>
      <w:r w:rsidRPr="00C25A28">
        <w:rPr>
          <w:sz w:val="22"/>
          <w:szCs w:val="22"/>
        </w:rPr>
        <w:t xml:space="preserve">(i.e., via participating in the NSS, module evaluation activities, involvement in panels and committees) </w:t>
      </w:r>
      <w:r w:rsidR="00586C74" w:rsidRPr="00C25A28">
        <w:rPr>
          <w:sz w:val="22"/>
          <w:szCs w:val="22"/>
        </w:rPr>
        <w:t>more visible</w:t>
      </w:r>
      <w:r w:rsidRPr="00C25A28">
        <w:rPr>
          <w:sz w:val="22"/>
          <w:szCs w:val="22"/>
        </w:rPr>
        <w:t xml:space="preserve">. Students seem </w:t>
      </w:r>
      <w:r w:rsidR="00B93D47" w:rsidRPr="00C25A28">
        <w:rPr>
          <w:sz w:val="22"/>
          <w:szCs w:val="22"/>
        </w:rPr>
        <w:t xml:space="preserve">more than </w:t>
      </w:r>
      <w:r w:rsidRPr="00C25A28">
        <w:rPr>
          <w:sz w:val="22"/>
          <w:szCs w:val="22"/>
        </w:rPr>
        <w:t>willing to engage in such activities, particularly where their engagement is facilitated by direct communication and links</w:t>
      </w:r>
      <w:r w:rsidR="00B93D47" w:rsidRPr="00C25A28">
        <w:rPr>
          <w:sz w:val="22"/>
          <w:szCs w:val="22"/>
        </w:rPr>
        <w:t>, for example,</w:t>
      </w:r>
      <w:r w:rsidRPr="00C25A28">
        <w:rPr>
          <w:sz w:val="22"/>
          <w:szCs w:val="22"/>
        </w:rPr>
        <w:t xml:space="preserve"> to relevant forms. However, where change is effected on the basis of such engagement, this </w:t>
      </w:r>
      <w:r w:rsidR="00E6014A" w:rsidRPr="00C25A28">
        <w:rPr>
          <w:sz w:val="22"/>
          <w:szCs w:val="22"/>
        </w:rPr>
        <w:t>needs to</w:t>
      </w:r>
      <w:r w:rsidRPr="00C25A28">
        <w:rPr>
          <w:sz w:val="22"/>
          <w:szCs w:val="22"/>
        </w:rPr>
        <w:t xml:space="preserve"> be clearly and explicitly communicated to students. </w:t>
      </w:r>
      <w:r w:rsidR="00B93D47" w:rsidRPr="00C25A28">
        <w:rPr>
          <w:sz w:val="22"/>
          <w:szCs w:val="22"/>
        </w:rPr>
        <w:t>The institution needs not only to be responsive to student feedback, it is important that it is also seen to be responsive in meaningful terms. A failure to make the impact of student engagement visible in this way would seem to be a major factor for increasing disengagement from such processes.</w:t>
      </w:r>
      <w:r w:rsidR="00FB3E2C" w:rsidRPr="00C25A28">
        <w:rPr>
          <w:sz w:val="22"/>
          <w:szCs w:val="22"/>
        </w:rPr>
        <w:t xml:space="preserve"> </w:t>
      </w:r>
    </w:p>
    <w:p w:rsidR="00520A37" w:rsidRPr="00C25A28" w:rsidRDefault="00BE439E" w:rsidP="00520A37">
      <w:pPr>
        <w:spacing w:line="240" w:lineRule="auto"/>
        <w:rPr>
          <w:sz w:val="22"/>
          <w:szCs w:val="22"/>
        </w:rPr>
      </w:pPr>
      <w:r w:rsidRPr="00C25A28">
        <w:rPr>
          <w:sz w:val="22"/>
          <w:szCs w:val="22"/>
        </w:rPr>
        <w:t xml:space="preserve">In conclusion, </w:t>
      </w:r>
      <w:r w:rsidR="00520A37" w:rsidRPr="00C25A28">
        <w:rPr>
          <w:sz w:val="22"/>
          <w:szCs w:val="22"/>
        </w:rPr>
        <w:t xml:space="preserve">a message that seems to emerge from all data collection to date is that student engagement is not simply an issue that depends upon students. Rather, it involves the active, meaningful and visible engagement of the university at all levels. Where students feel they have been insufficiently catered for, for example, with mature and commuting students for from lecturing and other staff, it is clear that these constituencies must be taken into account when opportunities for engagement are made available and communicated to the student body. In addition to this, however, universities must be seen not only to encourage student engagement in their institutional processes, but also to respond to that engagement </w:t>
      </w:r>
      <w:r w:rsidR="00B6617D" w:rsidRPr="00C25A28">
        <w:rPr>
          <w:sz w:val="22"/>
          <w:szCs w:val="22"/>
        </w:rPr>
        <w:t>that makes it clear that student feedback is valued and acted upon</w:t>
      </w:r>
      <w:r w:rsidR="00520A37" w:rsidRPr="00C25A28">
        <w:rPr>
          <w:sz w:val="22"/>
          <w:szCs w:val="22"/>
        </w:rPr>
        <w:t xml:space="preserve">. </w:t>
      </w:r>
    </w:p>
    <w:p w:rsidR="00C25A28" w:rsidRPr="00C25A28" w:rsidRDefault="00C25A28" w:rsidP="00C03EA7">
      <w:pPr>
        <w:pStyle w:val="Heading1"/>
        <w:spacing w:line="240" w:lineRule="auto"/>
      </w:pPr>
    </w:p>
    <w:p w:rsidR="00984B54" w:rsidRPr="00C25A28" w:rsidRDefault="00A161FA" w:rsidP="00C03EA7">
      <w:pPr>
        <w:pStyle w:val="Heading1"/>
        <w:spacing w:line="240" w:lineRule="auto"/>
      </w:pPr>
      <w:r w:rsidRPr="00C25A28">
        <w:t>References</w:t>
      </w:r>
    </w:p>
    <w:p w:rsidR="001B5B7D" w:rsidRPr="00C25A28" w:rsidRDefault="00A161FA" w:rsidP="001B5B7D">
      <w:pPr>
        <w:widowControl w:val="0"/>
        <w:autoSpaceDE w:val="0"/>
        <w:autoSpaceDN w:val="0"/>
        <w:adjustRightInd w:val="0"/>
        <w:spacing w:after="0" w:line="240" w:lineRule="auto"/>
        <w:rPr>
          <w:noProof/>
          <w:sz w:val="22"/>
        </w:rPr>
      </w:pPr>
      <w:r w:rsidRPr="00C25A28">
        <w:rPr>
          <w:sz w:val="22"/>
          <w:szCs w:val="22"/>
        </w:rPr>
        <w:fldChar w:fldCharType="begin" w:fldLock="1"/>
      </w:r>
      <w:r w:rsidRPr="00C25A28">
        <w:rPr>
          <w:sz w:val="22"/>
          <w:szCs w:val="22"/>
        </w:rPr>
        <w:instrText xml:space="preserve">ADDIN Mendeley Bibliography CSL_BIBLIOGRAPHY </w:instrText>
      </w:r>
      <w:r w:rsidRPr="00C25A28">
        <w:rPr>
          <w:sz w:val="22"/>
          <w:szCs w:val="22"/>
        </w:rPr>
        <w:fldChar w:fldCharType="separate"/>
      </w:r>
      <w:r w:rsidR="001B5B7D" w:rsidRPr="00C25A28">
        <w:rPr>
          <w:noProof/>
          <w:sz w:val="22"/>
        </w:rPr>
        <w:t xml:space="preserve">Bucks New University (2016) </w:t>
      </w:r>
      <w:r w:rsidR="001B5B7D" w:rsidRPr="00C25A28">
        <w:rPr>
          <w:i/>
          <w:iCs/>
          <w:noProof/>
          <w:sz w:val="22"/>
        </w:rPr>
        <w:t>Bucks New University Equalities Statistics: Student HESA Data 2015/16</w:t>
      </w:r>
      <w:r w:rsidR="001B5B7D" w:rsidRPr="00C25A28">
        <w:rPr>
          <w:noProof/>
          <w:sz w:val="22"/>
        </w:rPr>
        <w:t>. Available at: https://bucks.ac.uk/__data/assets/pdf_file/0017/15641/equalities-monitoring-student-data-report-15-16.pdf (Accessed: 6 June 2017).</w:t>
      </w:r>
    </w:p>
    <w:p w:rsidR="00C25A28" w:rsidRPr="00C25A28" w:rsidRDefault="00C25A28" w:rsidP="001B5B7D">
      <w:pPr>
        <w:widowControl w:val="0"/>
        <w:autoSpaceDE w:val="0"/>
        <w:autoSpaceDN w:val="0"/>
        <w:adjustRightInd w:val="0"/>
        <w:spacing w:after="0" w:line="240" w:lineRule="auto"/>
        <w:rPr>
          <w:noProof/>
          <w:sz w:val="22"/>
        </w:rPr>
      </w:pPr>
    </w:p>
    <w:p w:rsidR="001B5B7D" w:rsidRPr="00C25A28" w:rsidRDefault="001B5B7D" w:rsidP="001B5B7D">
      <w:pPr>
        <w:widowControl w:val="0"/>
        <w:autoSpaceDE w:val="0"/>
        <w:autoSpaceDN w:val="0"/>
        <w:adjustRightInd w:val="0"/>
        <w:spacing w:after="0" w:line="240" w:lineRule="auto"/>
        <w:rPr>
          <w:noProof/>
          <w:sz w:val="22"/>
        </w:rPr>
      </w:pPr>
      <w:r w:rsidRPr="00C25A28">
        <w:rPr>
          <w:noProof/>
          <w:sz w:val="22"/>
        </w:rPr>
        <w:t xml:space="preserve">Bucks Students’ Union (2017) </w:t>
      </w:r>
      <w:r w:rsidRPr="00C25A28">
        <w:rPr>
          <w:i/>
          <w:iCs/>
          <w:noProof/>
          <w:sz w:val="22"/>
        </w:rPr>
        <w:t>The Big Deal</w:t>
      </w:r>
      <w:r w:rsidRPr="00C25A28">
        <w:rPr>
          <w:noProof/>
          <w:sz w:val="22"/>
        </w:rPr>
        <w:t>. Available at: https://www.bucksstudentsunion.org/activities/thebigdeal/ (Accessed: 12 May 2017).</w:t>
      </w:r>
    </w:p>
    <w:p w:rsidR="00C25A28" w:rsidRPr="00C25A28" w:rsidRDefault="00C25A28" w:rsidP="001B5B7D">
      <w:pPr>
        <w:widowControl w:val="0"/>
        <w:autoSpaceDE w:val="0"/>
        <w:autoSpaceDN w:val="0"/>
        <w:adjustRightInd w:val="0"/>
        <w:spacing w:after="0" w:line="240" w:lineRule="auto"/>
        <w:rPr>
          <w:noProof/>
          <w:sz w:val="22"/>
        </w:rPr>
      </w:pPr>
    </w:p>
    <w:p w:rsidR="001B5B7D" w:rsidRPr="00C25A28" w:rsidRDefault="001B5B7D" w:rsidP="001B5B7D">
      <w:pPr>
        <w:widowControl w:val="0"/>
        <w:autoSpaceDE w:val="0"/>
        <w:autoSpaceDN w:val="0"/>
        <w:adjustRightInd w:val="0"/>
        <w:spacing w:after="0" w:line="240" w:lineRule="auto"/>
        <w:rPr>
          <w:noProof/>
          <w:sz w:val="22"/>
        </w:rPr>
      </w:pPr>
      <w:r w:rsidRPr="00C25A28">
        <w:rPr>
          <w:noProof/>
          <w:sz w:val="22"/>
        </w:rPr>
        <w:t xml:space="preserve">McNiff, J. (1992) </w:t>
      </w:r>
      <w:r w:rsidRPr="00C25A28">
        <w:rPr>
          <w:i/>
          <w:iCs/>
          <w:noProof/>
          <w:sz w:val="22"/>
        </w:rPr>
        <w:t>Action Research: principles and practice</w:t>
      </w:r>
      <w:r w:rsidRPr="00C25A28">
        <w:rPr>
          <w:noProof/>
          <w:sz w:val="22"/>
        </w:rPr>
        <w:t>. London: Routledge.</w:t>
      </w:r>
    </w:p>
    <w:p w:rsidR="00C25A28" w:rsidRPr="00C25A28" w:rsidRDefault="00C25A28" w:rsidP="001B5B7D">
      <w:pPr>
        <w:widowControl w:val="0"/>
        <w:autoSpaceDE w:val="0"/>
        <w:autoSpaceDN w:val="0"/>
        <w:adjustRightInd w:val="0"/>
        <w:spacing w:after="0" w:line="240" w:lineRule="auto"/>
        <w:rPr>
          <w:noProof/>
          <w:sz w:val="22"/>
        </w:rPr>
      </w:pPr>
    </w:p>
    <w:p w:rsidR="001B5B7D" w:rsidRPr="00C25A28" w:rsidRDefault="001B5B7D" w:rsidP="001B5B7D">
      <w:pPr>
        <w:widowControl w:val="0"/>
        <w:autoSpaceDE w:val="0"/>
        <w:autoSpaceDN w:val="0"/>
        <w:adjustRightInd w:val="0"/>
        <w:spacing w:after="0" w:line="240" w:lineRule="auto"/>
        <w:rPr>
          <w:noProof/>
          <w:sz w:val="22"/>
        </w:rPr>
      </w:pPr>
      <w:r w:rsidRPr="00C25A28">
        <w:rPr>
          <w:noProof/>
          <w:sz w:val="22"/>
        </w:rPr>
        <w:t xml:space="preserve">Thomas, L., Hill, M., O’Mahony, J. and Yorke, M. (2017) </w:t>
      </w:r>
      <w:r w:rsidRPr="00C25A28">
        <w:rPr>
          <w:i/>
          <w:iCs/>
          <w:noProof/>
          <w:sz w:val="22"/>
        </w:rPr>
        <w:t>Supporting student success: strategies for institutional change What Works? Student Retention &amp; Success programme Final Report</w:t>
      </w:r>
      <w:r w:rsidRPr="00C25A28">
        <w:rPr>
          <w:noProof/>
          <w:sz w:val="22"/>
        </w:rPr>
        <w:t>. London: Paul Hamlyn Foundation. Available at: https://www.heacademy.ac.uk/system/files/downloads/what_works_2_-_full_report.pdf (Accessed: 10 May 2017).</w:t>
      </w:r>
    </w:p>
    <w:p w:rsidR="00C25A28" w:rsidRPr="00C25A28" w:rsidRDefault="00C25A28" w:rsidP="001B5B7D">
      <w:pPr>
        <w:widowControl w:val="0"/>
        <w:autoSpaceDE w:val="0"/>
        <w:autoSpaceDN w:val="0"/>
        <w:adjustRightInd w:val="0"/>
        <w:spacing w:after="0" w:line="240" w:lineRule="auto"/>
        <w:rPr>
          <w:noProof/>
          <w:sz w:val="22"/>
        </w:rPr>
      </w:pPr>
    </w:p>
    <w:p w:rsidR="001B5B7D" w:rsidRPr="00C25A28" w:rsidRDefault="001B5B7D" w:rsidP="001B5B7D">
      <w:pPr>
        <w:widowControl w:val="0"/>
        <w:autoSpaceDE w:val="0"/>
        <w:autoSpaceDN w:val="0"/>
        <w:adjustRightInd w:val="0"/>
        <w:spacing w:after="0" w:line="240" w:lineRule="auto"/>
        <w:rPr>
          <w:noProof/>
          <w:sz w:val="22"/>
        </w:rPr>
      </w:pPr>
      <w:r w:rsidRPr="00C25A28">
        <w:rPr>
          <w:noProof/>
          <w:sz w:val="22"/>
        </w:rPr>
        <w:t xml:space="preserve">Trowler, V. (2010) </w:t>
      </w:r>
      <w:r w:rsidRPr="00C25A28">
        <w:rPr>
          <w:i/>
          <w:iCs/>
          <w:noProof/>
          <w:sz w:val="22"/>
        </w:rPr>
        <w:t>Student engagement literature review</w:t>
      </w:r>
      <w:r w:rsidRPr="00C25A28">
        <w:rPr>
          <w:noProof/>
          <w:sz w:val="22"/>
        </w:rPr>
        <w:t xml:space="preserve">, </w:t>
      </w:r>
      <w:r w:rsidRPr="00C25A28">
        <w:rPr>
          <w:i/>
          <w:iCs/>
          <w:noProof/>
          <w:sz w:val="22"/>
        </w:rPr>
        <w:t>HEA</w:t>
      </w:r>
      <w:r w:rsidRPr="00C25A28">
        <w:rPr>
          <w:noProof/>
          <w:sz w:val="22"/>
        </w:rPr>
        <w:t>. York. Available at: http://americandemocracy.illinoisstate.edu/documents/democratic-engagement-white-paper-2_13_09.pdf.</w:t>
      </w:r>
    </w:p>
    <w:p w:rsidR="00C25A28" w:rsidRPr="00C25A28" w:rsidRDefault="00C25A28" w:rsidP="001B5B7D">
      <w:pPr>
        <w:widowControl w:val="0"/>
        <w:autoSpaceDE w:val="0"/>
        <w:autoSpaceDN w:val="0"/>
        <w:adjustRightInd w:val="0"/>
        <w:spacing w:after="0" w:line="240" w:lineRule="auto"/>
        <w:rPr>
          <w:noProof/>
          <w:sz w:val="22"/>
        </w:rPr>
      </w:pPr>
    </w:p>
    <w:p w:rsidR="001B5B7D" w:rsidRPr="00C25A28" w:rsidRDefault="001B5B7D" w:rsidP="001B5B7D">
      <w:pPr>
        <w:widowControl w:val="0"/>
        <w:autoSpaceDE w:val="0"/>
        <w:autoSpaceDN w:val="0"/>
        <w:adjustRightInd w:val="0"/>
        <w:spacing w:after="0" w:line="240" w:lineRule="auto"/>
        <w:rPr>
          <w:noProof/>
          <w:sz w:val="22"/>
        </w:rPr>
      </w:pPr>
      <w:r w:rsidRPr="00C25A28">
        <w:rPr>
          <w:noProof/>
          <w:sz w:val="22"/>
        </w:rPr>
        <w:t xml:space="preserve">Universities UK (2015) </w:t>
      </w:r>
      <w:r w:rsidRPr="00C25A28">
        <w:rPr>
          <w:i/>
          <w:iCs/>
          <w:noProof/>
          <w:sz w:val="22"/>
        </w:rPr>
        <w:t>Student mental wellbeing in higher education: good practice guide</w:t>
      </w:r>
      <w:r w:rsidRPr="00C25A28">
        <w:rPr>
          <w:noProof/>
          <w:sz w:val="22"/>
        </w:rPr>
        <w:t>. London: Universities UK. Available at: http://www.universitiesuk.ac.uk/policy-and-analysis/reports/Documents/2015/student-mental-wellbeing-in-he.pdf (Accessed: 12 May 2017).</w:t>
      </w:r>
    </w:p>
    <w:p w:rsidR="00A161FA" w:rsidRPr="00C03EA7" w:rsidRDefault="00A161FA" w:rsidP="00C03EA7">
      <w:pPr>
        <w:spacing w:line="240" w:lineRule="auto"/>
        <w:rPr>
          <w:sz w:val="22"/>
          <w:szCs w:val="22"/>
        </w:rPr>
      </w:pPr>
      <w:r w:rsidRPr="00C25A28">
        <w:rPr>
          <w:sz w:val="22"/>
          <w:szCs w:val="22"/>
        </w:rPr>
        <w:fldChar w:fldCharType="end"/>
      </w:r>
    </w:p>
    <w:sectPr w:rsidR="00A161FA" w:rsidRPr="00C03E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233" w:rsidRDefault="00C52233" w:rsidP="00240352">
      <w:pPr>
        <w:spacing w:after="0" w:line="240" w:lineRule="auto"/>
      </w:pPr>
      <w:r>
        <w:separator/>
      </w:r>
    </w:p>
  </w:endnote>
  <w:endnote w:type="continuationSeparator" w:id="0">
    <w:p w:rsidR="00C52233" w:rsidRDefault="00C52233" w:rsidP="0024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35955"/>
      <w:docPartObj>
        <w:docPartGallery w:val="Page Numbers (Bottom of Page)"/>
        <w:docPartUnique/>
      </w:docPartObj>
    </w:sdtPr>
    <w:sdtEndPr>
      <w:rPr>
        <w:noProof/>
      </w:rPr>
    </w:sdtEndPr>
    <w:sdtContent>
      <w:p w:rsidR="00240352" w:rsidRDefault="00240352">
        <w:pPr>
          <w:pStyle w:val="Footer"/>
          <w:jc w:val="center"/>
        </w:pPr>
        <w:r>
          <w:fldChar w:fldCharType="begin"/>
        </w:r>
        <w:r>
          <w:instrText xml:space="preserve"> PAGE   \* MERGEFORMAT </w:instrText>
        </w:r>
        <w:r>
          <w:fldChar w:fldCharType="separate"/>
        </w:r>
        <w:r w:rsidR="004C6156">
          <w:rPr>
            <w:noProof/>
          </w:rPr>
          <w:t>1</w:t>
        </w:r>
        <w:r>
          <w:rPr>
            <w:noProof/>
          </w:rPr>
          <w:fldChar w:fldCharType="end"/>
        </w:r>
      </w:p>
    </w:sdtContent>
  </w:sdt>
  <w:p w:rsidR="00240352" w:rsidRDefault="00240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233" w:rsidRDefault="00C52233" w:rsidP="00240352">
      <w:pPr>
        <w:spacing w:after="0" w:line="240" w:lineRule="auto"/>
      </w:pPr>
      <w:r>
        <w:separator/>
      </w:r>
    </w:p>
  </w:footnote>
  <w:footnote w:type="continuationSeparator" w:id="0">
    <w:p w:rsidR="00C52233" w:rsidRDefault="00C52233" w:rsidP="00240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2390"/>
    <w:multiLevelType w:val="hybridMultilevel"/>
    <w:tmpl w:val="F48C2B9C"/>
    <w:lvl w:ilvl="0" w:tplc="9B2A125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959A6"/>
    <w:multiLevelType w:val="hybridMultilevel"/>
    <w:tmpl w:val="4912C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00CC9"/>
    <w:multiLevelType w:val="hybridMultilevel"/>
    <w:tmpl w:val="35D0CBD4"/>
    <w:lvl w:ilvl="0" w:tplc="12B27E18">
      <w:start w:val="1"/>
      <w:numFmt w:val="bullet"/>
      <w:lvlText w:val="•"/>
      <w:lvlJc w:val="left"/>
      <w:pPr>
        <w:tabs>
          <w:tab w:val="num" w:pos="720"/>
        </w:tabs>
        <w:ind w:left="720" w:hanging="360"/>
      </w:pPr>
      <w:rPr>
        <w:rFonts w:ascii="Arial" w:hAnsi="Arial" w:hint="default"/>
      </w:rPr>
    </w:lvl>
    <w:lvl w:ilvl="1" w:tplc="D8F26112">
      <w:start w:val="96"/>
      <w:numFmt w:val="bullet"/>
      <w:lvlText w:val="–"/>
      <w:lvlJc w:val="left"/>
      <w:pPr>
        <w:tabs>
          <w:tab w:val="num" w:pos="1440"/>
        </w:tabs>
        <w:ind w:left="1440" w:hanging="360"/>
      </w:pPr>
      <w:rPr>
        <w:rFonts w:ascii="Arial" w:hAnsi="Arial" w:hint="default"/>
      </w:rPr>
    </w:lvl>
    <w:lvl w:ilvl="2" w:tplc="80942A58" w:tentative="1">
      <w:start w:val="1"/>
      <w:numFmt w:val="bullet"/>
      <w:lvlText w:val="•"/>
      <w:lvlJc w:val="left"/>
      <w:pPr>
        <w:tabs>
          <w:tab w:val="num" w:pos="2160"/>
        </w:tabs>
        <w:ind w:left="2160" w:hanging="360"/>
      </w:pPr>
      <w:rPr>
        <w:rFonts w:ascii="Arial" w:hAnsi="Arial" w:hint="default"/>
      </w:rPr>
    </w:lvl>
    <w:lvl w:ilvl="3" w:tplc="F0524252" w:tentative="1">
      <w:start w:val="1"/>
      <w:numFmt w:val="bullet"/>
      <w:lvlText w:val="•"/>
      <w:lvlJc w:val="left"/>
      <w:pPr>
        <w:tabs>
          <w:tab w:val="num" w:pos="2880"/>
        </w:tabs>
        <w:ind w:left="2880" w:hanging="360"/>
      </w:pPr>
      <w:rPr>
        <w:rFonts w:ascii="Arial" w:hAnsi="Arial" w:hint="default"/>
      </w:rPr>
    </w:lvl>
    <w:lvl w:ilvl="4" w:tplc="A52ACD32" w:tentative="1">
      <w:start w:val="1"/>
      <w:numFmt w:val="bullet"/>
      <w:lvlText w:val="•"/>
      <w:lvlJc w:val="left"/>
      <w:pPr>
        <w:tabs>
          <w:tab w:val="num" w:pos="3600"/>
        </w:tabs>
        <w:ind w:left="3600" w:hanging="360"/>
      </w:pPr>
      <w:rPr>
        <w:rFonts w:ascii="Arial" w:hAnsi="Arial" w:hint="default"/>
      </w:rPr>
    </w:lvl>
    <w:lvl w:ilvl="5" w:tplc="8F9000DA" w:tentative="1">
      <w:start w:val="1"/>
      <w:numFmt w:val="bullet"/>
      <w:lvlText w:val="•"/>
      <w:lvlJc w:val="left"/>
      <w:pPr>
        <w:tabs>
          <w:tab w:val="num" w:pos="4320"/>
        </w:tabs>
        <w:ind w:left="4320" w:hanging="360"/>
      </w:pPr>
      <w:rPr>
        <w:rFonts w:ascii="Arial" w:hAnsi="Arial" w:hint="default"/>
      </w:rPr>
    </w:lvl>
    <w:lvl w:ilvl="6" w:tplc="FDE2745A" w:tentative="1">
      <w:start w:val="1"/>
      <w:numFmt w:val="bullet"/>
      <w:lvlText w:val="•"/>
      <w:lvlJc w:val="left"/>
      <w:pPr>
        <w:tabs>
          <w:tab w:val="num" w:pos="5040"/>
        </w:tabs>
        <w:ind w:left="5040" w:hanging="360"/>
      </w:pPr>
      <w:rPr>
        <w:rFonts w:ascii="Arial" w:hAnsi="Arial" w:hint="default"/>
      </w:rPr>
    </w:lvl>
    <w:lvl w:ilvl="7" w:tplc="24B6D362" w:tentative="1">
      <w:start w:val="1"/>
      <w:numFmt w:val="bullet"/>
      <w:lvlText w:val="•"/>
      <w:lvlJc w:val="left"/>
      <w:pPr>
        <w:tabs>
          <w:tab w:val="num" w:pos="5760"/>
        </w:tabs>
        <w:ind w:left="5760" w:hanging="360"/>
      </w:pPr>
      <w:rPr>
        <w:rFonts w:ascii="Arial" w:hAnsi="Arial" w:hint="default"/>
      </w:rPr>
    </w:lvl>
    <w:lvl w:ilvl="8" w:tplc="13005D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B3661A"/>
    <w:multiLevelType w:val="hybridMultilevel"/>
    <w:tmpl w:val="75A84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A6FBB"/>
    <w:multiLevelType w:val="hybridMultilevel"/>
    <w:tmpl w:val="576C3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D612FB"/>
    <w:multiLevelType w:val="hybridMultilevel"/>
    <w:tmpl w:val="EF08A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505232"/>
    <w:multiLevelType w:val="hybridMultilevel"/>
    <w:tmpl w:val="4912C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DB6641"/>
    <w:multiLevelType w:val="hybridMultilevel"/>
    <w:tmpl w:val="25F8FFAC"/>
    <w:lvl w:ilvl="0" w:tplc="CACED95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395DF4"/>
    <w:multiLevelType w:val="hybridMultilevel"/>
    <w:tmpl w:val="4B846EFC"/>
    <w:lvl w:ilvl="0" w:tplc="3E8A85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5711A"/>
    <w:multiLevelType w:val="hybridMultilevel"/>
    <w:tmpl w:val="4912C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26731A"/>
    <w:multiLevelType w:val="hybridMultilevel"/>
    <w:tmpl w:val="EF08A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120F2F"/>
    <w:multiLevelType w:val="hybridMultilevel"/>
    <w:tmpl w:val="7A0A2F8C"/>
    <w:lvl w:ilvl="0" w:tplc="3D6E18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D0B56"/>
    <w:multiLevelType w:val="hybridMultilevel"/>
    <w:tmpl w:val="E1A4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A3CFE"/>
    <w:multiLevelType w:val="hybridMultilevel"/>
    <w:tmpl w:val="5F1C0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3"/>
  </w:num>
  <w:num w:numId="4">
    <w:abstractNumId w:val="10"/>
  </w:num>
  <w:num w:numId="5">
    <w:abstractNumId w:val="12"/>
  </w:num>
  <w:num w:numId="6">
    <w:abstractNumId w:val="7"/>
  </w:num>
  <w:num w:numId="7">
    <w:abstractNumId w:val="11"/>
  </w:num>
  <w:num w:numId="8">
    <w:abstractNumId w:val="0"/>
  </w:num>
  <w:num w:numId="9">
    <w:abstractNumId w:val="8"/>
  </w:num>
  <w:num w:numId="10">
    <w:abstractNumId w:val="1"/>
  </w:num>
  <w:num w:numId="11">
    <w:abstractNumId w:val="9"/>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E2"/>
    <w:rsid w:val="00010F6C"/>
    <w:rsid w:val="0003390D"/>
    <w:rsid w:val="000475CC"/>
    <w:rsid w:val="00095E29"/>
    <w:rsid w:val="00095EA0"/>
    <w:rsid w:val="000B60C2"/>
    <w:rsid w:val="000F0A98"/>
    <w:rsid w:val="0012231C"/>
    <w:rsid w:val="0012538E"/>
    <w:rsid w:val="0013786D"/>
    <w:rsid w:val="00153B68"/>
    <w:rsid w:val="001653DB"/>
    <w:rsid w:val="001826E6"/>
    <w:rsid w:val="001A1CD6"/>
    <w:rsid w:val="001A363F"/>
    <w:rsid w:val="001A5018"/>
    <w:rsid w:val="001B39C8"/>
    <w:rsid w:val="001B5B7D"/>
    <w:rsid w:val="002020E7"/>
    <w:rsid w:val="00235452"/>
    <w:rsid w:val="00240352"/>
    <w:rsid w:val="002422F5"/>
    <w:rsid w:val="00245F73"/>
    <w:rsid w:val="00255DCD"/>
    <w:rsid w:val="00264DF5"/>
    <w:rsid w:val="00283256"/>
    <w:rsid w:val="002A79A9"/>
    <w:rsid w:val="002B2A12"/>
    <w:rsid w:val="002C4FAC"/>
    <w:rsid w:val="002D6E1E"/>
    <w:rsid w:val="00303805"/>
    <w:rsid w:val="00312A76"/>
    <w:rsid w:val="00326E86"/>
    <w:rsid w:val="00342ADA"/>
    <w:rsid w:val="00351BF7"/>
    <w:rsid w:val="0036427B"/>
    <w:rsid w:val="003A2586"/>
    <w:rsid w:val="003F6C93"/>
    <w:rsid w:val="004422D2"/>
    <w:rsid w:val="004439FC"/>
    <w:rsid w:val="004610DA"/>
    <w:rsid w:val="0048674A"/>
    <w:rsid w:val="00487184"/>
    <w:rsid w:val="004A5E64"/>
    <w:rsid w:val="004C6156"/>
    <w:rsid w:val="004E7D77"/>
    <w:rsid w:val="00506067"/>
    <w:rsid w:val="00512049"/>
    <w:rsid w:val="0051609C"/>
    <w:rsid w:val="00520A37"/>
    <w:rsid w:val="00524A3B"/>
    <w:rsid w:val="005317DA"/>
    <w:rsid w:val="00586C74"/>
    <w:rsid w:val="00587D64"/>
    <w:rsid w:val="00590AF5"/>
    <w:rsid w:val="005A3649"/>
    <w:rsid w:val="005B2644"/>
    <w:rsid w:val="00600DD3"/>
    <w:rsid w:val="00614845"/>
    <w:rsid w:val="00623788"/>
    <w:rsid w:val="0062435F"/>
    <w:rsid w:val="00627CB6"/>
    <w:rsid w:val="0063794D"/>
    <w:rsid w:val="006A0A09"/>
    <w:rsid w:val="00720D24"/>
    <w:rsid w:val="00741DA4"/>
    <w:rsid w:val="007472C3"/>
    <w:rsid w:val="0075335A"/>
    <w:rsid w:val="00753CD5"/>
    <w:rsid w:val="00755CE2"/>
    <w:rsid w:val="007714C0"/>
    <w:rsid w:val="00784CEB"/>
    <w:rsid w:val="007965FF"/>
    <w:rsid w:val="007A2279"/>
    <w:rsid w:val="007E3236"/>
    <w:rsid w:val="00806630"/>
    <w:rsid w:val="00815996"/>
    <w:rsid w:val="008278A2"/>
    <w:rsid w:val="00834BCF"/>
    <w:rsid w:val="0086370C"/>
    <w:rsid w:val="008A3F33"/>
    <w:rsid w:val="009011C0"/>
    <w:rsid w:val="00914EA1"/>
    <w:rsid w:val="0092010D"/>
    <w:rsid w:val="0094761A"/>
    <w:rsid w:val="00960E79"/>
    <w:rsid w:val="00984B54"/>
    <w:rsid w:val="009911CE"/>
    <w:rsid w:val="00993A73"/>
    <w:rsid w:val="009A74AB"/>
    <w:rsid w:val="009C1C59"/>
    <w:rsid w:val="009D186F"/>
    <w:rsid w:val="009E4029"/>
    <w:rsid w:val="00A161FA"/>
    <w:rsid w:val="00A33394"/>
    <w:rsid w:val="00A42222"/>
    <w:rsid w:val="00A46CC4"/>
    <w:rsid w:val="00AE09DB"/>
    <w:rsid w:val="00AE519C"/>
    <w:rsid w:val="00AF4F07"/>
    <w:rsid w:val="00B02C84"/>
    <w:rsid w:val="00B26EC2"/>
    <w:rsid w:val="00B32455"/>
    <w:rsid w:val="00B6617D"/>
    <w:rsid w:val="00B90051"/>
    <w:rsid w:val="00B93D47"/>
    <w:rsid w:val="00BE439E"/>
    <w:rsid w:val="00C03334"/>
    <w:rsid w:val="00C03EA7"/>
    <w:rsid w:val="00C25A28"/>
    <w:rsid w:val="00C2624E"/>
    <w:rsid w:val="00C52233"/>
    <w:rsid w:val="00C6191E"/>
    <w:rsid w:val="00C76351"/>
    <w:rsid w:val="00C9438D"/>
    <w:rsid w:val="00CB3245"/>
    <w:rsid w:val="00D11D7F"/>
    <w:rsid w:val="00D21013"/>
    <w:rsid w:val="00D307C8"/>
    <w:rsid w:val="00D37049"/>
    <w:rsid w:val="00D54712"/>
    <w:rsid w:val="00D62CA2"/>
    <w:rsid w:val="00D70049"/>
    <w:rsid w:val="00DB2CFE"/>
    <w:rsid w:val="00DE70DC"/>
    <w:rsid w:val="00DF1F0A"/>
    <w:rsid w:val="00E0752B"/>
    <w:rsid w:val="00E11B46"/>
    <w:rsid w:val="00E260DC"/>
    <w:rsid w:val="00E30252"/>
    <w:rsid w:val="00E53F05"/>
    <w:rsid w:val="00E6014A"/>
    <w:rsid w:val="00E6578A"/>
    <w:rsid w:val="00E9430A"/>
    <w:rsid w:val="00E962B4"/>
    <w:rsid w:val="00EB1278"/>
    <w:rsid w:val="00EB685E"/>
    <w:rsid w:val="00EC63DF"/>
    <w:rsid w:val="00EC7E45"/>
    <w:rsid w:val="00ED32AA"/>
    <w:rsid w:val="00EE0E1E"/>
    <w:rsid w:val="00F0685F"/>
    <w:rsid w:val="00F769DC"/>
    <w:rsid w:val="00F9389C"/>
    <w:rsid w:val="00F948CC"/>
    <w:rsid w:val="00FA42FD"/>
    <w:rsid w:val="00FA44E2"/>
    <w:rsid w:val="00FB3E2C"/>
    <w:rsid w:val="00FB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CC8EA-6D3C-4A17-B1C5-A912704F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79"/>
    <w:pPr>
      <w:spacing w:line="360" w:lineRule="auto"/>
    </w:pPr>
    <w:rPr>
      <w:rFonts w:ascii="Arial" w:hAnsi="Arial" w:cs="Arial"/>
      <w:sz w:val="24"/>
      <w:szCs w:val="24"/>
    </w:rPr>
  </w:style>
  <w:style w:type="paragraph" w:styleId="Heading1">
    <w:name w:val="heading 1"/>
    <w:basedOn w:val="Normal"/>
    <w:next w:val="Normal"/>
    <w:link w:val="Heading1Char"/>
    <w:qFormat/>
    <w:rsid w:val="00960E79"/>
    <w:pPr>
      <w:keepNext/>
      <w:spacing w:after="120"/>
      <w:outlineLvl w:val="0"/>
    </w:pPr>
    <w:rPr>
      <w:rFonts w:eastAsia="Times New Roman"/>
      <w:b/>
      <w:bCs/>
    </w:rPr>
  </w:style>
  <w:style w:type="paragraph" w:styleId="Heading2">
    <w:name w:val="heading 2"/>
    <w:basedOn w:val="Normal"/>
    <w:next w:val="Normal"/>
    <w:link w:val="Heading2Char"/>
    <w:uiPriority w:val="9"/>
    <w:unhideWhenUsed/>
    <w:qFormat/>
    <w:rsid w:val="004439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B54"/>
    <w:pPr>
      <w:spacing w:after="0" w:line="240" w:lineRule="auto"/>
    </w:pPr>
    <w:rPr>
      <w:rFonts w:ascii="Calibri" w:eastAsia="Times New Roman" w:hAnsi="Calibri" w:cs="Times New Roman"/>
      <w:lang w:eastAsia="en-GB"/>
    </w:rPr>
  </w:style>
  <w:style w:type="character" w:customStyle="1" w:styleId="Heading1Char">
    <w:name w:val="Heading 1 Char"/>
    <w:basedOn w:val="DefaultParagraphFont"/>
    <w:link w:val="Heading1"/>
    <w:rsid w:val="00960E79"/>
    <w:rPr>
      <w:rFonts w:ascii="Arial" w:eastAsia="Times New Roman" w:hAnsi="Arial" w:cs="Arial"/>
      <w:b/>
      <w:bCs/>
      <w:sz w:val="24"/>
      <w:szCs w:val="24"/>
    </w:rPr>
  </w:style>
  <w:style w:type="paragraph" w:styleId="ListParagraph">
    <w:name w:val="List Paragraph"/>
    <w:basedOn w:val="Normal"/>
    <w:uiPriority w:val="34"/>
    <w:qFormat/>
    <w:rsid w:val="001B39C8"/>
    <w:pPr>
      <w:ind w:left="720"/>
      <w:contextualSpacing/>
    </w:pPr>
  </w:style>
  <w:style w:type="table" w:styleId="TableGrid">
    <w:name w:val="Table Grid"/>
    <w:basedOn w:val="TableNormal"/>
    <w:uiPriority w:val="39"/>
    <w:rsid w:val="0024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439FC"/>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960E79"/>
    <w:pPr>
      <w:keepNext/>
      <w:spacing w:after="200" w:line="240" w:lineRule="auto"/>
    </w:pPr>
    <w:rPr>
      <w:iCs/>
      <w:sz w:val="20"/>
      <w:szCs w:val="20"/>
    </w:rPr>
  </w:style>
  <w:style w:type="paragraph" w:styleId="Title">
    <w:name w:val="Title"/>
    <w:basedOn w:val="Normal"/>
    <w:next w:val="Normal"/>
    <w:link w:val="TitleChar"/>
    <w:uiPriority w:val="10"/>
    <w:qFormat/>
    <w:rsid w:val="00960E79"/>
    <w:pPr>
      <w:spacing w:after="240" w:line="240" w:lineRule="auto"/>
      <w:contextualSpacing/>
    </w:pPr>
    <w:rPr>
      <w:rFonts w:eastAsiaTheme="majorEastAsia"/>
      <w:b/>
      <w:spacing w:val="-10"/>
      <w:kern w:val="28"/>
      <w:sz w:val="32"/>
      <w:szCs w:val="32"/>
    </w:rPr>
  </w:style>
  <w:style w:type="character" w:customStyle="1" w:styleId="TitleChar">
    <w:name w:val="Title Char"/>
    <w:basedOn w:val="DefaultParagraphFont"/>
    <w:link w:val="Title"/>
    <w:uiPriority w:val="10"/>
    <w:rsid w:val="00960E79"/>
    <w:rPr>
      <w:rFonts w:ascii="Arial" w:eastAsiaTheme="majorEastAsia" w:hAnsi="Arial" w:cs="Arial"/>
      <w:b/>
      <w:spacing w:val="-10"/>
      <w:kern w:val="28"/>
      <w:sz w:val="32"/>
      <w:szCs w:val="32"/>
    </w:rPr>
  </w:style>
  <w:style w:type="paragraph" w:styleId="Header">
    <w:name w:val="header"/>
    <w:basedOn w:val="Normal"/>
    <w:link w:val="HeaderChar"/>
    <w:uiPriority w:val="99"/>
    <w:unhideWhenUsed/>
    <w:rsid w:val="00240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352"/>
    <w:rPr>
      <w:rFonts w:ascii="Arial" w:hAnsi="Arial" w:cs="Arial"/>
      <w:sz w:val="24"/>
      <w:szCs w:val="24"/>
    </w:rPr>
  </w:style>
  <w:style w:type="paragraph" w:styleId="Footer">
    <w:name w:val="footer"/>
    <w:basedOn w:val="Normal"/>
    <w:link w:val="FooterChar"/>
    <w:uiPriority w:val="99"/>
    <w:unhideWhenUsed/>
    <w:rsid w:val="00240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352"/>
    <w:rPr>
      <w:rFonts w:ascii="Arial" w:hAnsi="Arial" w:cs="Arial"/>
      <w:sz w:val="24"/>
      <w:szCs w:val="24"/>
    </w:rPr>
  </w:style>
  <w:style w:type="character" w:styleId="CommentReference">
    <w:name w:val="annotation reference"/>
    <w:basedOn w:val="DefaultParagraphFont"/>
    <w:uiPriority w:val="99"/>
    <w:semiHidden/>
    <w:unhideWhenUsed/>
    <w:rsid w:val="005B2644"/>
    <w:rPr>
      <w:sz w:val="16"/>
      <w:szCs w:val="16"/>
    </w:rPr>
  </w:style>
  <w:style w:type="paragraph" w:styleId="CommentText">
    <w:name w:val="annotation text"/>
    <w:basedOn w:val="Normal"/>
    <w:link w:val="CommentTextChar"/>
    <w:uiPriority w:val="99"/>
    <w:semiHidden/>
    <w:unhideWhenUsed/>
    <w:rsid w:val="005B2644"/>
    <w:pPr>
      <w:spacing w:line="240" w:lineRule="auto"/>
    </w:pPr>
    <w:rPr>
      <w:sz w:val="20"/>
      <w:szCs w:val="20"/>
    </w:rPr>
  </w:style>
  <w:style w:type="character" w:customStyle="1" w:styleId="CommentTextChar">
    <w:name w:val="Comment Text Char"/>
    <w:basedOn w:val="DefaultParagraphFont"/>
    <w:link w:val="CommentText"/>
    <w:uiPriority w:val="99"/>
    <w:semiHidden/>
    <w:rsid w:val="005B264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B2644"/>
    <w:rPr>
      <w:b/>
      <w:bCs/>
    </w:rPr>
  </w:style>
  <w:style w:type="character" w:customStyle="1" w:styleId="CommentSubjectChar">
    <w:name w:val="Comment Subject Char"/>
    <w:basedOn w:val="CommentTextChar"/>
    <w:link w:val="CommentSubject"/>
    <w:uiPriority w:val="99"/>
    <w:semiHidden/>
    <w:rsid w:val="005B2644"/>
    <w:rPr>
      <w:rFonts w:ascii="Arial" w:hAnsi="Arial" w:cs="Arial"/>
      <w:b/>
      <w:bCs/>
      <w:sz w:val="20"/>
      <w:szCs w:val="20"/>
    </w:rPr>
  </w:style>
  <w:style w:type="paragraph" w:styleId="BalloonText">
    <w:name w:val="Balloon Text"/>
    <w:basedOn w:val="Normal"/>
    <w:link w:val="BalloonTextChar"/>
    <w:uiPriority w:val="99"/>
    <w:semiHidden/>
    <w:unhideWhenUsed/>
    <w:rsid w:val="005B2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3438">
      <w:bodyDiv w:val="1"/>
      <w:marLeft w:val="0"/>
      <w:marRight w:val="0"/>
      <w:marTop w:val="0"/>
      <w:marBottom w:val="0"/>
      <w:divBdr>
        <w:top w:val="none" w:sz="0" w:space="0" w:color="auto"/>
        <w:left w:val="none" w:sz="0" w:space="0" w:color="auto"/>
        <w:bottom w:val="none" w:sz="0" w:space="0" w:color="auto"/>
        <w:right w:val="none" w:sz="0" w:space="0" w:color="auto"/>
      </w:divBdr>
      <w:divsChild>
        <w:div w:id="1780221925">
          <w:marLeft w:val="547"/>
          <w:marRight w:val="0"/>
          <w:marTop w:val="115"/>
          <w:marBottom w:val="0"/>
          <w:divBdr>
            <w:top w:val="none" w:sz="0" w:space="0" w:color="auto"/>
            <w:left w:val="none" w:sz="0" w:space="0" w:color="auto"/>
            <w:bottom w:val="none" w:sz="0" w:space="0" w:color="auto"/>
            <w:right w:val="none" w:sz="0" w:space="0" w:color="auto"/>
          </w:divBdr>
        </w:div>
        <w:div w:id="195898772">
          <w:marLeft w:val="547"/>
          <w:marRight w:val="0"/>
          <w:marTop w:val="115"/>
          <w:marBottom w:val="0"/>
          <w:divBdr>
            <w:top w:val="none" w:sz="0" w:space="0" w:color="auto"/>
            <w:left w:val="none" w:sz="0" w:space="0" w:color="auto"/>
            <w:bottom w:val="none" w:sz="0" w:space="0" w:color="auto"/>
            <w:right w:val="none" w:sz="0" w:space="0" w:color="auto"/>
          </w:divBdr>
        </w:div>
        <w:div w:id="1136681050">
          <w:marLeft w:val="1166"/>
          <w:marRight w:val="0"/>
          <w:marTop w:val="115"/>
          <w:marBottom w:val="0"/>
          <w:divBdr>
            <w:top w:val="none" w:sz="0" w:space="0" w:color="auto"/>
            <w:left w:val="none" w:sz="0" w:space="0" w:color="auto"/>
            <w:bottom w:val="none" w:sz="0" w:space="0" w:color="auto"/>
            <w:right w:val="none" w:sz="0" w:space="0" w:color="auto"/>
          </w:divBdr>
        </w:div>
        <w:div w:id="627513420">
          <w:marLeft w:val="1166"/>
          <w:marRight w:val="0"/>
          <w:marTop w:val="115"/>
          <w:marBottom w:val="0"/>
          <w:divBdr>
            <w:top w:val="none" w:sz="0" w:space="0" w:color="auto"/>
            <w:left w:val="none" w:sz="0" w:space="0" w:color="auto"/>
            <w:bottom w:val="none" w:sz="0" w:space="0" w:color="auto"/>
            <w:right w:val="none" w:sz="0" w:space="0" w:color="auto"/>
          </w:divBdr>
        </w:div>
        <w:div w:id="579409495">
          <w:marLeft w:val="1166"/>
          <w:marRight w:val="0"/>
          <w:marTop w:val="115"/>
          <w:marBottom w:val="0"/>
          <w:divBdr>
            <w:top w:val="none" w:sz="0" w:space="0" w:color="auto"/>
            <w:left w:val="none" w:sz="0" w:space="0" w:color="auto"/>
            <w:bottom w:val="none" w:sz="0" w:space="0" w:color="auto"/>
            <w:right w:val="none" w:sz="0" w:space="0" w:color="auto"/>
          </w:divBdr>
        </w:div>
      </w:divsChild>
    </w:div>
    <w:div w:id="847714377">
      <w:bodyDiv w:val="1"/>
      <w:marLeft w:val="0"/>
      <w:marRight w:val="0"/>
      <w:marTop w:val="0"/>
      <w:marBottom w:val="0"/>
      <w:divBdr>
        <w:top w:val="none" w:sz="0" w:space="0" w:color="auto"/>
        <w:left w:val="none" w:sz="0" w:space="0" w:color="auto"/>
        <w:bottom w:val="none" w:sz="0" w:space="0" w:color="auto"/>
        <w:right w:val="none" w:sz="0" w:space="0" w:color="auto"/>
      </w:divBdr>
      <w:divsChild>
        <w:div w:id="1885479234">
          <w:marLeft w:val="547"/>
          <w:marRight w:val="0"/>
          <w:marTop w:val="115"/>
          <w:marBottom w:val="0"/>
          <w:divBdr>
            <w:top w:val="none" w:sz="0" w:space="0" w:color="auto"/>
            <w:left w:val="none" w:sz="0" w:space="0" w:color="auto"/>
            <w:bottom w:val="none" w:sz="0" w:space="0" w:color="auto"/>
            <w:right w:val="none" w:sz="0" w:space="0" w:color="auto"/>
          </w:divBdr>
        </w:div>
        <w:div w:id="910850371">
          <w:marLeft w:val="547"/>
          <w:marRight w:val="0"/>
          <w:marTop w:val="115"/>
          <w:marBottom w:val="0"/>
          <w:divBdr>
            <w:top w:val="none" w:sz="0" w:space="0" w:color="auto"/>
            <w:left w:val="none" w:sz="0" w:space="0" w:color="auto"/>
            <w:bottom w:val="none" w:sz="0" w:space="0" w:color="auto"/>
            <w:right w:val="none" w:sz="0" w:space="0" w:color="auto"/>
          </w:divBdr>
        </w:div>
        <w:div w:id="1144851474">
          <w:marLeft w:val="1166"/>
          <w:marRight w:val="0"/>
          <w:marTop w:val="115"/>
          <w:marBottom w:val="0"/>
          <w:divBdr>
            <w:top w:val="none" w:sz="0" w:space="0" w:color="auto"/>
            <w:left w:val="none" w:sz="0" w:space="0" w:color="auto"/>
            <w:bottom w:val="none" w:sz="0" w:space="0" w:color="auto"/>
            <w:right w:val="none" w:sz="0" w:space="0" w:color="auto"/>
          </w:divBdr>
        </w:div>
        <w:div w:id="52044090">
          <w:marLeft w:val="1166"/>
          <w:marRight w:val="0"/>
          <w:marTop w:val="115"/>
          <w:marBottom w:val="0"/>
          <w:divBdr>
            <w:top w:val="none" w:sz="0" w:space="0" w:color="auto"/>
            <w:left w:val="none" w:sz="0" w:space="0" w:color="auto"/>
            <w:bottom w:val="none" w:sz="0" w:space="0" w:color="auto"/>
            <w:right w:val="none" w:sz="0" w:space="0" w:color="auto"/>
          </w:divBdr>
        </w:div>
        <w:div w:id="143937351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Bucks_CTR_2013.XSL" StyleName="Harvard - Bucks CTR 2013" Version="10"/>
</file>

<file path=customXml/itemProps1.xml><?xml version="1.0" encoding="utf-8"?>
<ds:datastoreItem xmlns:ds="http://schemas.openxmlformats.org/officeDocument/2006/customXml" ds:itemID="{F3B1A834-BB9A-46F6-9F98-BF6245AF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4257</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28466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Irwin</dc:creator>
  <cp:keywords/>
  <dc:description/>
  <cp:lastModifiedBy>Julie Irwin</cp:lastModifiedBy>
  <cp:revision>2</cp:revision>
  <dcterms:created xsi:type="dcterms:W3CDTF">2017-06-09T09:56:00Z</dcterms:created>
  <dcterms:modified xsi:type="dcterms:W3CDTF">2017-06-09T09:56:00Z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http://www.zotero.org/styles/harvard-cite-them-right</vt:lpwstr>
  </property>
  <property fmtid="{D5CDD505-2E9C-101B-9397-08002B2CF9AE}" pid="24" name="Mendeley Unique User Id_1">
    <vt:lpwstr>00ae0c47-0edd-333b-986a-2bd6cf631d02</vt:lpwstr>
  </property>
</Properties>
</file>